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474" w:rsidRPr="00A52EF3" w:rsidRDefault="007C7474" w:rsidP="00F25FCA">
      <w:pPr>
        <w:spacing w:line="360" w:lineRule="auto"/>
        <w:jc w:val="center"/>
        <w:rPr>
          <w:rFonts w:ascii="Times New Roman" w:hAnsi="Times New Roman" w:cs="Times New Roman"/>
          <w:b/>
          <w:szCs w:val="80"/>
        </w:rPr>
      </w:pPr>
    </w:p>
    <w:p w:rsidR="003A5556" w:rsidRPr="00A52EF3" w:rsidRDefault="003A5556" w:rsidP="00F25FCA">
      <w:pPr>
        <w:spacing w:line="360" w:lineRule="auto"/>
        <w:jc w:val="center"/>
        <w:rPr>
          <w:rFonts w:ascii="Times New Roman" w:hAnsi="Times New Roman" w:cs="Times New Roman"/>
          <w:b/>
          <w:sz w:val="80"/>
          <w:szCs w:val="80"/>
        </w:rPr>
      </w:pPr>
      <w:r w:rsidRPr="00A52EF3">
        <w:rPr>
          <w:rFonts w:ascii="Times New Roman" w:hAnsi="Times New Roman" w:cs="Times New Roman"/>
          <w:b/>
          <w:noProof/>
          <w:sz w:val="88"/>
          <w:szCs w:val="88"/>
          <w:lang w:eastAsia="pl-PL"/>
        </w:rPr>
        <w:drawing>
          <wp:inline distT="0" distB="0" distL="0" distR="0" wp14:anchorId="468AD124" wp14:editId="56863369">
            <wp:extent cx="3238500" cy="3628147"/>
            <wp:effectExtent l="0" t="0" r="0" b="0"/>
            <wp:docPr id="1" name="Obraz 1" descr="http://starachowice.travel/data/image/herby/Gmina_brody_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achowice.travel/data/image/herby/Gmina_brody_her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921" cy="3631979"/>
                    </a:xfrm>
                    <a:prstGeom prst="rect">
                      <a:avLst/>
                    </a:prstGeom>
                    <a:noFill/>
                    <a:ln>
                      <a:noFill/>
                    </a:ln>
                  </pic:spPr>
                </pic:pic>
              </a:graphicData>
            </a:graphic>
          </wp:inline>
        </w:drawing>
      </w:r>
    </w:p>
    <w:p w:rsidR="003A5556" w:rsidRPr="00A52EF3" w:rsidRDefault="003A5556" w:rsidP="00F25FCA">
      <w:pPr>
        <w:spacing w:line="360" w:lineRule="auto"/>
        <w:jc w:val="center"/>
        <w:rPr>
          <w:rFonts w:ascii="Times New Roman" w:hAnsi="Times New Roman" w:cs="Times New Roman"/>
          <w:b/>
          <w:sz w:val="56"/>
          <w:szCs w:val="80"/>
        </w:rPr>
      </w:pPr>
      <w:r w:rsidRPr="00A52EF3">
        <w:rPr>
          <w:rFonts w:ascii="Times New Roman" w:hAnsi="Times New Roman" w:cs="Times New Roman"/>
          <w:b/>
          <w:sz w:val="72"/>
          <w:szCs w:val="80"/>
        </w:rPr>
        <w:t xml:space="preserve">PLAN GOSPODARKI NISKOEMISYJNEJ </w:t>
      </w:r>
      <w:r w:rsidRPr="00A52EF3">
        <w:rPr>
          <w:rFonts w:ascii="Times New Roman" w:hAnsi="Times New Roman" w:cs="Times New Roman"/>
          <w:b/>
          <w:sz w:val="72"/>
          <w:szCs w:val="80"/>
        </w:rPr>
        <w:br/>
        <w:t xml:space="preserve">DLA GMINY BRODY </w:t>
      </w:r>
      <w:r w:rsidRPr="00A52EF3">
        <w:rPr>
          <w:rFonts w:ascii="Times New Roman" w:hAnsi="Times New Roman" w:cs="Times New Roman"/>
          <w:b/>
          <w:sz w:val="72"/>
          <w:szCs w:val="80"/>
        </w:rPr>
        <w:br/>
      </w:r>
      <w:r w:rsidRPr="00A52EF3">
        <w:rPr>
          <w:rFonts w:ascii="Times New Roman" w:hAnsi="Times New Roman" w:cs="Times New Roman"/>
          <w:b/>
          <w:sz w:val="56"/>
          <w:szCs w:val="80"/>
        </w:rPr>
        <w:t>NA LATA 2016 – 2021</w:t>
      </w:r>
    </w:p>
    <w:p w:rsidR="003A5556" w:rsidRPr="00A52EF3" w:rsidRDefault="003A5556" w:rsidP="00F25FCA">
      <w:pPr>
        <w:spacing w:line="360" w:lineRule="auto"/>
        <w:rPr>
          <w:rFonts w:ascii="Times New Roman" w:hAnsi="Times New Roman" w:cs="Times New Roman"/>
          <w:b/>
          <w:sz w:val="24"/>
          <w:szCs w:val="80"/>
        </w:rPr>
      </w:pPr>
    </w:p>
    <w:p w:rsidR="007C7474" w:rsidRPr="00A52EF3" w:rsidRDefault="007C7474" w:rsidP="00F25FCA">
      <w:pPr>
        <w:spacing w:line="360" w:lineRule="auto"/>
        <w:jc w:val="center"/>
        <w:rPr>
          <w:rFonts w:ascii="Times New Roman" w:hAnsi="Times New Roman" w:cs="Times New Roman"/>
          <w:b/>
          <w:sz w:val="48"/>
          <w:szCs w:val="80"/>
        </w:rPr>
      </w:pPr>
    </w:p>
    <w:p w:rsidR="003A5556" w:rsidRPr="00A52EF3" w:rsidRDefault="003A5556" w:rsidP="00F25FCA">
      <w:pPr>
        <w:spacing w:line="360" w:lineRule="auto"/>
        <w:jc w:val="center"/>
        <w:rPr>
          <w:rFonts w:ascii="Times New Roman" w:hAnsi="Times New Roman" w:cs="Times New Roman"/>
          <w:i/>
          <w:sz w:val="28"/>
          <w:szCs w:val="80"/>
        </w:rPr>
      </w:pPr>
      <w:r w:rsidRPr="00A52EF3">
        <w:rPr>
          <w:rFonts w:ascii="Times New Roman" w:hAnsi="Times New Roman" w:cs="Times New Roman"/>
          <w:i/>
          <w:sz w:val="28"/>
          <w:szCs w:val="80"/>
        </w:rPr>
        <w:t>Brody, 2016r.</w:t>
      </w:r>
    </w:p>
    <w:p w:rsidR="004632A9" w:rsidRPr="00A52EF3" w:rsidRDefault="004632A9" w:rsidP="00906E08">
      <w:pPr>
        <w:spacing w:line="360" w:lineRule="auto"/>
        <w:jc w:val="center"/>
        <w:rPr>
          <w:rFonts w:ascii="Times New Roman" w:hAnsi="Times New Roman" w:cs="Times New Roman"/>
          <w:sz w:val="24"/>
        </w:rPr>
      </w:pPr>
      <w:r w:rsidRPr="00A52EF3">
        <w:rPr>
          <w:rFonts w:ascii="Times New Roman" w:hAnsi="Times New Roman" w:cs="Times New Roman"/>
          <w:sz w:val="24"/>
        </w:rPr>
        <w:lastRenderedPageBreak/>
        <w:t>Opracowanie:</w:t>
      </w:r>
    </w:p>
    <w:p w:rsidR="004632A9" w:rsidRPr="00A52EF3" w:rsidRDefault="004632A9" w:rsidP="00F25FCA">
      <w:pPr>
        <w:spacing w:line="360" w:lineRule="auto"/>
        <w:jc w:val="center"/>
        <w:rPr>
          <w:rFonts w:ascii="Times New Roman" w:hAnsi="Times New Roman" w:cs="Times New Roman"/>
          <w:sz w:val="24"/>
        </w:rPr>
      </w:pP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noProof/>
          <w:sz w:val="24"/>
          <w:lang w:eastAsia="pl-PL"/>
        </w:rPr>
        <w:drawing>
          <wp:inline distT="0" distB="0" distL="0" distR="0" wp14:anchorId="756F1B1B" wp14:editId="426FE474">
            <wp:extent cx="1800225" cy="752475"/>
            <wp:effectExtent l="0" t="0" r="9525" b="9525"/>
            <wp:docPr id="5" name="Obraz 5" descr="C:\Documents and Settings\oem\Pulpit\BRZOZÓ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em\Pulpit\BRZOZÓW\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p>
    <w:p w:rsidR="004632A9" w:rsidRPr="00A52EF3" w:rsidRDefault="004632A9" w:rsidP="00F25FCA">
      <w:pPr>
        <w:spacing w:line="360" w:lineRule="auto"/>
        <w:jc w:val="center"/>
        <w:rPr>
          <w:rFonts w:ascii="Times New Roman" w:hAnsi="Times New Roman" w:cs="Times New Roman"/>
          <w:sz w:val="24"/>
        </w:rPr>
      </w:pPr>
    </w:p>
    <w:p w:rsidR="004632A9" w:rsidRPr="00A52EF3" w:rsidRDefault="004632A9" w:rsidP="00F25FCA">
      <w:pPr>
        <w:spacing w:line="360" w:lineRule="auto"/>
        <w:jc w:val="center"/>
        <w:rPr>
          <w:rFonts w:ascii="Times New Roman" w:hAnsi="Times New Roman" w:cs="Times New Roman"/>
          <w:sz w:val="24"/>
          <w:lang w:val="en-US"/>
        </w:rPr>
      </w:pPr>
      <w:r w:rsidRPr="00A52EF3">
        <w:rPr>
          <w:rFonts w:ascii="Times New Roman" w:hAnsi="Times New Roman" w:cs="Times New Roman"/>
          <w:b/>
          <w:bCs/>
          <w:sz w:val="24"/>
          <w:lang w:val="en-US"/>
        </w:rPr>
        <w:t>Future Green Innovations S.A.</w:t>
      </w: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 xml:space="preserve">ul. </w:t>
      </w:r>
      <w:r w:rsidR="00A66797" w:rsidRPr="00A52EF3">
        <w:rPr>
          <w:rFonts w:ascii="Times New Roman" w:hAnsi="Times New Roman" w:cs="Times New Roman"/>
          <w:sz w:val="24"/>
        </w:rPr>
        <w:t>Podole 60</w:t>
      </w:r>
      <w:r w:rsidRPr="00A52EF3">
        <w:rPr>
          <w:rFonts w:ascii="Times New Roman" w:hAnsi="Times New Roman" w:cs="Times New Roman"/>
          <w:sz w:val="24"/>
        </w:rPr>
        <w:t xml:space="preserve"> </w:t>
      </w: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31-422 Kraków</w:t>
      </w:r>
    </w:p>
    <w:p w:rsidR="004632A9" w:rsidRPr="00A52EF3" w:rsidRDefault="004632A9" w:rsidP="00F25FCA">
      <w:pPr>
        <w:spacing w:line="360" w:lineRule="auto"/>
        <w:jc w:val="center"/>
        <w:rPr>
          <w:rFonts w:ascii="Times New Roman" w:hAnsi="Times New Roman" w:cs="Times New Roman"/>
          <w:sz w:val="24"/>
        </w:rPr>
      </w:pP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Telefon: +48 12 632 41 29</w:t>
      </w: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Fax: +48 12 418 26 30</w:t>
      </w:r>
    </w:p>
    <w:p w:rsidR="004632A9" w:rsidRPr="00A52EF3" w:rsidRDefault="004632A9" w:rsidP="00F25FCA">
      <w:pPr>
        <w:spacing w:line="360" w:lineRule="auto"/>
        <w:jc w:val="center"/>
        <w:rPr>
          <w:rFonts w:ascii="Times New Roman" w:hAnsi="Times New Roman" w:cs="Times New Roman"/>
          <w:sz w:val="24"/>
          <w:lang w:val="en-US"/>
        </w:rPr>
      </w:pPr>
      <w:r w:rsidRPr="00A52EF3">
        <w:rPr>
          <w:rFonts w:ascii="Times New Roman" w:hAnsi="Times New Roman" w:cs="Times New Roman"/>
          <w:b/>
          <w:bCs/>
          <w:sz w:val="24"/>
          <w:lang w:val="en-US"/>
        </w:rPr>
        <w:t>E-mail: office@greenfuture-projekt.pl</w:t>
      </w:r>
    </w:p>
    <w:p w:rsidR="004632A9" w:rsidRPr="00A52EF3" w:rsidRDefault="004632A9" w:rsidP="00906E08">
      <w:pPr>
        <w:spacing w:line="360" w:lineRule="auto"/>
        <w:rPr>
          <w:rFonts w:ascii="Times New Roman" w:hAnsi="Times New Roman" w:cs="Times New Roman"/>
          <w:sz w:val="24"/>
          <w:lang w:val="en-US"/>
        </w:rPr>
      </w:pPr>
    </w:p>
    <w:p w:rsidR="004632A9"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Opracował zespół w składzie:</w:t>
      </w:r>
    </w:p>
    <w:p w:rsidR="0088754C" w:rsidRPr="00A52EF3" w:rsidRDefault="004632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mgr inż. Katarzyna Lechończak</w:t>
      </w:r>
    </w:p>
    <w:p w:rsidR="004632A9" w:rsidRPr="00A52EF3" w:rsidRDefault="00681313" w:rsidP="00681313">
      <w:pPr>
        <w:tabs>
          <w:tab w:val="center" w:pos="4536"/>
          <w:tab w:val="left" w:pos="6396"/>
        </w:tabs>
        <w:spacing w:line="360" w:lineRule="auto"/>
        <w:rPr>
          <w:rFonts w:ascii="Times New Roman" w:hAnsi="Times New Roman" w:cs="Times New Roman"/>
          <w:sz w:val="24"/>
        </w:rPr>
      </w:pPr>
      <w:r w:rsidRPr="00A52EF3">
        <w:rPr>
          <w:rFonts w:ascii="Times New Roman" w:hAnsi="Times New Roman" w:cs="Times New Roman"/>
          <w:sz w:val="24"/>
        </w:rPr>
        <w:tab/>
      </w:r>
      <w:r w:rsidR="004632A9" w:rsidRPr="00A52EF3">
        <w:rPr>
          <w:rFonts w:ascii="Times New Roman" w:hAnsi="Times New Roman" w:cs="Times New Roman"/>
          <w:sz w:val="24"/>
        </w:rPr>
        <w:t>mgr Jarosław Dąbrowski</w:t>
      </w:r>
      <w:r w:rsidRPr="00A52EF3">
        <w:rPr>
          <w:rFonts w:ascii="Times New Roman" w:hAnsi="Times New Roman" w:cs="Times New Roman"/>
          <w:sz w:val="24"/>
        </w:rPr>
        <w:tab/>
      </w:r>
    </w:p>
    <w:p w:rsidR="00906E08" w:rsidRPr="00A52EF3" w:rsidRDefault="006B285B" w:rsidP="00906E08">
      <w:pPr>
        <w:spacing w:line="360" w:lineRule="auto"/>
        <w:jc w:val="center"/>
        <w:rPr>
          <w:rFonts w:ascii="Times New Roman" w:hAnsi="Times New Roman" w:cs="Times New Roman"/>
          <w:sz w:val="24"/>
        </w:rPr>
      </w:pPr>
      <w:r w:rsidRPr="00A52EF3">
        <w:rPr>
          <w:rFonts w:ascii="Times New Roman" w:hAnsi="Times New Roman" w:cs="Times New Roman"/>
          <w:sz w:val="24"/>
        </w:rPr>
        <w:t>Paulina Traczyk</w:t>
      </w:r>
    </w:p>
    <w:p w:rsidR="00906E08" w:rsidRPr="00A52EF3" w:rsidRDefault="00906E08" w:rsidP="00906E08">
      <w:pPr>
        <w:pBdr>
          <w:top w:val="single" w:sz="4" w:space="1" w:color="auto"/>
        </w:pBdr>
        <w:spacing w:line="360" w:lineRule="auto"/>
        <w:jc w:val="center"/>
        <w:rPr>
          <w:rFonts w:ascii="Times New Roman" w:hAnsi="Times New Roman" w:cs="Times New Roman"/>
          <w:szCs w:val="80"/>
        </w:rPr>
      </w:pPr>
    </w:p>
    <w:p w:rsidR="00906E08" w:rsidRPr="00A52EF3" w:rsidRDefault="00906E08" w:rsidP="00906E08">
      <w:pPr>
        <w:pBdr>
          <w:top w:val="single" w:sz="4" w:space="1" w:color="auto"/>
        </w:pBdr>
        <w:spacing w:line="360" w:lineRule="auto"/>
        <w:jc w:val="center"/>
        <w:rPr>
          <w:rFonts w:ascii="Times New Roman" w:hAnsi="Times New Roman" w:cs="Times New Roman"/>
          <w:b/>
          <w:szCs w:val="80"/>
        </w:rPr>
      </w:pPr>
      <w:r w:rsidRPr="00A52EF3">
        <w:rPr>
          <w:rFonts w:ascii="Times New Roman" w:hAnsi="Times New Roman" w:cs="Times New Roman"/>
          <w:b/>
          <w:szCs w:val="80"/>
        </w:rPr>
        <w:t xml:space="preserve">Projekt został dofinansowany ze środków </w:t>
      </w:r>
      <w:r w:rsidRPr="00A52EF3">
        <w:rPr>
          <w:rFonts w:ascii="Times New Roman" w:hAnsi="Times New Roman" w:cs="Times New Roman"/>
          <w:b/>
          <w:szCs w:val="80"/>
        </w:rPr>
        <w:br/>
        <w:t>Wojewódzkiego Funduszu Ochrony Środowiska i Gospodarki Wodnej w Kielcach</w:t>
      </w:r>
    </w:p>
    <w:p w:rsidR="00906E08" w:rsidRPr="00A52EF3" w:rsidRDefault="00906E08" w:rsidP="00906E08">
      <w:pPr>
        <w:pStyle w:val="Nagwek"/>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599C038A" wp14:editId="5140B753">
            <wp:extent cx="1762125" cy="7905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790575"/>
                    </a:xfrm>
                    <a:prstGeom prst="rect">
                      <a:avLst/>
                    </a:prstGeom>
                    <a:noFill/>
                    <a:ln>
                      <a:noFill/>
                    </a:ln>
                  </pic:spPr>
                </pic:pic>
              </a:graphicData>
            </a:graphic>
          </wp:inline>
        </w:drawing>
      </w:r>
      <w:r w:rsidRPr="00A52EF3">
        <w:rPr>
          <w:rFonts w:ascii="Times New Roman" w:hAnsi="Times New Roman" w:cs="Times New Roman"/>
          <w:noProof/>
          <w:lang w:eastAsia="pl-PL"/>
        </w:rPr>
        <w:drawing>
          <wp:inline distT="0" distB="0" distL="0" distR="0" wp14:anchorId="3AC5BE19" wp14:editId="4F1AA1D8">
            <wp:extent cx="704850" cy="934034"/>
            <wp:effectExtent l="0" t="0" r="0" b="0"/>
            <wp:docPr id="30" name="Obraz 30" descr="http://www.wachock.pl/userfiles/w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chock.pl/userfiles/wf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032" cy="939576"/>
                    </a:xfrm>
                    <a:prstGeom prst="rect">
                      <a:avLst/>
                    </a:prstGeom>
                    <a:noFill/>
                    <a:ln>
                      <a:noFill/>
                    </a:ln>
                  </pic:spPr>
                </pic:pic>
              </a:graphicData>
            </a:graphic>
          </wp:inline>
        </w:drawing>
      </w:r>
    </w:p>
    <w:sdt>
      <w:sdtPr>
        <w:rPr>
          <w:rFonts w:ascii="Times New Roman" w:eastAsiaTheme="minorHAnsi" w:hAnsi="Times New Roman" w:cs="Times New Roman"/>
          <w:b w:val="0"/>
          <w:bCs w:val="0"/>
          <w:color w:val="auto"/>
          <w:sz w:val="22"/>
          <w:szCs w:val="22"/>
          <w:lang w:eastAsia="en-US"/>
        </w:rPr>
        <w:id w:val="1588570252"/>
        <w:docPartObj>
          <w:docPartGallery w:val="Table of Contents"/>
          <w:docPartUnique/>
        </w:docPartObj>
      </w:sdtPr>
      <w:sdtContent>
        <w:p w:rsidR="00C83C30" w:rsidRPr="00A52EF3" w:rsidRDefault="00C83C30" w:rsidP="00F25FCA">
          <w:pPr>
            <w:pStyle w:val="Nagwekspisutreci"/>
            <w:spacing w:line="360" w:lineRule="auto"/>
            <w:rPr>
              <w:rFonts w:ascii="Times New Roman" w:hAnsi="Times New Roman" w:cs="Times New Roman"/>
              <w:color w:val="auto"/>
              <w:szCs w:val="24"/>
            </w:rPr>
          </w:pPr>
          <w:r w:rsidRPr="00A52EF3">
            <w:rPr>
              <w:rFonts w:ascii="Times New Roman" w:hAnsi="Times New Roman" w:cs="Times New Roman"/>
              <w:color w:val="auto"/>
              <w:szCs w:val="24"/>
            </w:rPr>
            <w:t>Spis tr</w:t>
          </w:r>
          <w:bookmarkStart w:id="0" w:name="_GoBack"/>
          <w:bookmarkEnd w:id="0"/>
          <w:r w:rsidRPr="00A52EF3">
            <w:rPr>
              <w:rFonts w:ascii="Times New Roman" w:hAnsi="Times New Roman" w:cs="Times New Roman"/>
              <w:color w:val="auto"/>
              <w:szCs w:val="24"/>
            </w:rPr>
            <w:t>eści</w:t>
          </w:r>
        </w:p>
        <w:p w:rsidR="001D2286" w:rsidRPr="00A52EF3" w:rsidRDefault="00572C29">
          <w:pPr>
            <w:pStyle w:val="Spistreci1"/>
            <w:tabs>
              <w:tab w:val="left" w:pos="440"/>
            </w:tabs>
            <w:rPr>
              <w:rFonts w:ascii="Times New Roman" w:eastAsiaTheme="minorEastAsia" w:hAnsi="Times New Roman" w:cs="Times New Roman"/>
              <w:noProof/>
              <w:lang w:eastAsia="pl-PL"/>
            </w:rPr>
          </w:pPr>
          <w:r w:rsidRPr="00A52EF3">
            <w:rPr>
              <w:rFonts w:ascii="Times New Roman" w:hAnsi="Times New Roman" w:cs="Times New Roman"/>
              <w:sz w:val="24"/>
              <w:szCs w:val="24"/>
            </w:rPr>
            <w:fldChar w:fldCharType="begin"/>
          </w:r>
          <w:r w:rsidR="00C83C30" w:rsidRPr="00A52EF3">
            <w:rPr>
              <w:rFonts w:ascii="Times New Roman" w:hAnsi="Times New Roman" w:cs="Times New Roman"/>
              <w:sz w:val="24"/>
              <w:szCs w:val="24"/>
            </w:rPr>
            <w:instrText xml:space="preserve"> TOC \o "1-3" \h \z \u </w:instrText>
          </w:r>
          <w:r w:rsidRPr="00A52EF3">
            <w:rPr>
              <w:rFonts w:ascii="Times New Roman" w:hAnsi="Times New Roman" w:cs="Times New Roman"/>
              <w:sz w:val="24"/>
              <w:szCs w:val="24"/>
            </w:rPr>
            <w:fldChar w:fldCharType="separate"/>
          </w:r>
          <w:hyperlink w:anchor="_Toc470763978" w:history="1">
            <w:r w:rsidR="001D2286" w:rsidRPr="00A52EF3">
              <w:rPr>
                <w:rStyle w:val="Hipercze"/>
                <w:rFonts w:ascii="Times New Roman" w:hAnsi="Times New Roman" w:cs="Times New Roman"/>
                <w:noProof/>
              </w:rPr>
              <w:t>1.</w:t>
            </w:r>
            <w:r w:rsidR="001D2286" w:rsidRPr="00A52EF3">
              <w:rPr>
                <w:rFonts w:ascii="Times New Roman" w:eastAsiaTheme="minorEastAsia" w:hAnsi="Times New Roman" w:cs="Times New Roman"/>
                <w:noProof/>
                <w:lang w:eastAsia="pl-PL"/>
              </w:rPr>
              <w:tab/>
            </w:r>
            <w:r w:rsidR="001D2286" w:rsidRPr="00A52EF3">
              <w:rPr>
                <w:rStyle w:val="Hipercze"/>
                <w:rFonts w:ascii="Times New Roman" w:hAnsi="Times New Roman" w:cs="Times New Roman"/>
                <w:noProof/>
              </w:rPr>
              <w:t>Streszczenie</w:t>
            </w:r>
            <w:r w:rsidR="001D2286" w:rsidRPr="00A52EF3">
              <w:rPr>
                <w:rFonts w:ascii="Times New Roman" w:hAnsi="Times New Roman" w:cs="Times New Roman"/>
                <w:noProof/>
                <w:webHidden/>
              </w:rPr>
              <w:tab/>
            </w:r>
            <w:r w:rsidR="001D2286" w:rsidRPr="00A52EF3">
              <w:rPr>
                <w:rFonts w:ascii="Times New Roman" w:hAnsi="Times New Roman" w:cs="Times New Roman"/>
                <w:noProof/>
                <w:webHidden/>
              </w:rPr>
              <w:fldChar w:fldCharType="begin"/>
            </w:r>
            <w:r w:rsidR="001D2286" w:rsidRPr="00A52EF3">
              <w:rPr>
                <w:rFonts w:ascii="Times New Roman" w:hAnsi="Times New Roman" w:cs="Times New Roman"/>
                <w:noProof/>
                <w:webHidden/>
              </w:rPr>
              <w:instrText xml:space="preserve"> PAGEREF _Toc470763978 \h </w:instrText>
            </w:r>
            <w:r w:rsidR="001D2286" w:rsidRPr="00A52EF3">
              <w:rPr>
                <w:rFonts w:ascii="Times New Roman" w:hAnsi="Times New Roman" w:cs="Times New Roman"/>
                <w:noProof/>
                <w:webHidden/>
              </w:rPr>
            </w:r>
            <w:r w:rsidR="001D2286" w:rsidRPr="00A52EF3">
              <w:rPr>
                <w:rFonts w:ascii="Times New Roman" w:hAnsi="Times New Roman" w:cs="Times New Roman"/>
                <w:noProof/>
                <w:webHidden/>
              </w:rPr>
              <w:fldChar w:fldCharType="separate"/>
            </w:r>
            <w:r w:rsidR="00E675C7">
              <w:rPr>
                <w:rFonts w:ascii="Times New Roman" w:hAnsi="Times New Roman" w:cs="Times New Roman"/>
                <w:noProof/>
                <w:webHidden/>
              </w:rPr>
              <w:t>6</w:t>
            </w:r>
            <w:r w:rsidR="001D2286"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3979" w:history="1">
            <w:r w:rsidRPr="00A52EF3">
              <w:rPr>
                <w:rStyle w:val="Hipercze"/>
                <w:rFonts w:ascii="Times New Roman" w:hAnsi="Times New Roman" w:cs="Times New Roman"/>
                <w:noProof/>
              </w:rPr>
              <w:t>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Wstęp</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_Toc470763979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0" w:history="1">
            <w:r w:rsidRPr="00A52EF3">
              <w:rPr>
                <w:rStyle w:val="Hipercze"/>
                <w:rFonts w:ascii="Times New Roman" w:hAnsi="Times New Roman" w:cs="Times New Roman"/>
                <w:noProof/>
              </w:rPr>
              <w:t>2.1.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Cel opracowania i podstawy formalne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1" w:history="1">
            <w:r w:rsidRPr="00A52EF3">
              <w:rPr>
                <w:rStyle w:val="Hipercze"/>
                <w:rFonts w:ascii="Times New Roman" w:hAnsi="Times New Roman" w:cs="Times New Roman"/>
                <w:noProof/>
              </w:rPr>
              <w:t>2.2.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Zakres opracowania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8</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2" w:history="1">
            <w:r w:rsidRPr="00A52EF3">
              <w:rPr>
                <w:rStyle w:val="Hipercze"/>
                <w:rFonts w:ascii="Times New Roman" w:hAnsi="Times New Roman" w:cs="Times New Roman"/>
                <w:noProof/>
              </w:rPr>
              <w:t>3.1.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Przepisy prawa i dokumenty strategiczne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9</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3" w:history="1">
            <w:r w:rsidRPr="00A52EF3">
              <w:rPr>
                <w:rStyle w:val="Hipercze"/>
                <w:rFonts w:ascii="Times New Roman" w:hAnsi="Times New Roman" w:cs="Times New Roman"/>
                <w:noProof/>
              </w:rPr>
              <w:t>3.2.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Analiza regionalnych planów z punktu widzenia PGN</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3984" w:history="1">
            <w:r w:rsidRPr="00A52EF3">
              <w:rPr>
                <w:rStyle w:val="Hipercze"/>
                <w:rFonts w:ascii="Times New Roman" w:hAnsi="Times New Roman" w:cs="Times New Roman"/>
                <w:noProof/>
              </w:rPr>
              <w:t>4.</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Charakterystyka Gminy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18</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5" w:history="1">
            <w:r w:rsidRPr="00A52EF3">
              <w:rPr>
                <w:rStyle w:val="Hipercze"/>
                <w:rFonts w:ascii="Times New Roman" w:hAnsi="Times New Roman" w:cs="Times New Roman"/>
                <w:noProof/>
              </w:rPr>
              <w:t>4.1.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Położenie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18</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6" w:history="1">
            <w:r w:rsidRPr="00A52EF3">
              <w:rPr>
                <w:rStyle w:val="Hipercze"/>
                <w:rFonts w:ascii="Times New Roman" w:hAnsi="Times New Roman" w:cs="Times New Roman"/>
                <w:noProof/>
              </w:rPr>
              <w:t>4.2.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Rys historyczny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20</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7" w:history="1">
            <w:r w:rsidRPr="00A52EF3">
              <w:rPr>
                <w:rStyle w:val="Hipercze"/>
                <w:rFonts w:ascii="Times New Roman" w:eastAsia="Calibri" w:hAnsi="Times New Roman" w:cs="Times New Roman"/>
                <w:noProof/>
              </w:rPr>
              <w:t>4.3.</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Formy użytkowania terenu</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21</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8" w:history="1">
            <w:r w:rsidRPr="00A52EF3">
              <w:rPr>
                <w:rStyle w:val="Hipercze"/>
                <w:rFonts w:ascii="Times New Roman" w:eastAsia="Calibri" w:hAnsi="Times New Roman" w:cs="Times New Roman"/>
                <w:noProof/>
              </w:rPr>
              <w:t>4.4.</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Obszary chronione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23</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89" w:history="1">
            <w:r w:rsidRPr="00A52EF3">
              <w:rPr>
                <w:rStyle w:val="Hipercze"/>
                <w:rFonts w:ascii="Times New Roman" w:hAnsi="Times New Roman" w:cs="Times New Roman"/>
                <w:noProof/>
              </w:rPr>
              <w:t>4.6.</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Ludność</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_Toc470763989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26</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0" w:history="1">
            <w:r w:rsidRPr="00A52EF3">
              <w:rPr>
                <w:rStyle w:val="Hipercze"/>
                <w:rFonts w:ascii="Times New Roman" w:hAnsi="Times New Roman" w:cs="Times New Roman"/>
                <w:noProof/>
              </w:rPr>
              <w:t>4.7.</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Działalność gospodarcza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29</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1" w:history="1">
            <w:r w:rsidRPr="00A52EF3">
              <w:rPr>
                <w:rStyle w:val="Hipercze"/>
                <w:rFonts w:ascii="Times New Roman" w:hAnsi="Times New Roman" w:cs="Times New Roman"/>
                <w:noProof/>
              </w:rPr>
              <w:t>4.8.</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Duże zakłady przemysłowe w Gminie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30</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2" w:history="1">
            <w:r w:rsidRPr="00A52EF3">
              <w:rPr>
                <w:rStyle w:val="Hipercze"/>
                <w:rFonts w:ascii="Times New Roman" w:hAnsi="Times New Roman" w:cs="Times New Roman"/>
                <w:noProof/>
              </w:rPr>
              <w:t>4.9.</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Transport</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32</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3993" w:history="1">
            <w:r w:rsidRPr="00A52EF3">
              <w:rPr>
                <w:rStyle w:val="Hipercze"/>
                <w:rFonts w:ascii="Times New Roman" w:hAnsi="Times New Roman" w:cs="Times New Roman"/>
                <w:noProof/>
              </w:rPr>
              <w:t>4.10.</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Gospodarka odpadami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33</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3994" w:history="1">
            <w:r w:rsidRPr="00A52EF3">
              <w:rPr>
                <w:rStyle w:val="Hipercze"/>
                <w:rFonts w:ascii="Times New Roman" w:hAnsi="Times New Roman" w:cs="Times New Roman"/>
                <w:noProof/>
              </w:rPr>
              <w:t>4.11.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Gospodarka wodno – ściekowa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37</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3995" w:history="1">
            <w:r w:rsidRPr="00A52EF3">
              <w:rPr>
                <w:rStyle w:val="Hipercze"/>
                <w:rFonts w:ascii="Times New Roman" w:eastAsia="Times New Roman" w:hAnsi="Times New Roman" w:cs="Times New Roman"/>
                <w:noProof/>
              </w:rPr>
              <w:t>5.</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Charakterystyka nośników energetycznych na terenie Gminy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43</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6" w:history="1">
            <w:r w:rsidRPr="00A52EF3">
              <w:rPr>
                <w:rStyle w:val="Hipercze"/>
                <w:rFonts w:ascii="Times New Roman" w:eastAsia="Times New Roman" w:hAnsi="Times New Roman" w:cs="Times New Roman"/>
                <w:noProof/>
              </w:rPr>
              <w:t>5.1.</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System cieplny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43</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7" w:history="1">
            <w:r w:rsidRPr="00A52EF3">
              <w:rPr>
                <w:rStyle w:val="Hipercze"/>
                <w:rFonts w:ascii="Times New Roman" w:eastAsia="Times New Roman" w:hAnsi="Times New Roman" w:cs="Times New Roman"/>
                <w:noProof/>
              </w:rPr>
              <w:t>5.2.</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System gazowniczy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44</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3998" w:history="1">
            <w:r w:rsidRPr="00A52EF3">
              <w:rPr>
                <w:rStyle w:val="Hipercze"/>
                <w:rFonts w:ascii="Times New Roman" w:eastAsia="Times New Roman" w:hAnsi="Times New Roman" w:cs="Times New Roman"/>
                <w:noProof/>
              </w:rPr>
              <w:t>5.3.</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System elektroenergetyczny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45</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3999" w:history="1">
            <w:r w:rsidRPr="00A52EF3">
              <w:rPr>
                <w:rStyle w:val="Hipercze"/>
                <w:rFonts w:ascii="Times New Roman" w:eastAsia="Times New Roman" w:hAnsi="Times New Roman" w:cs="Times New Roman"/>
                <w:noProof/>
              </w:rPr>
              <w:t>6.</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Oświetlenie uliczne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_Toc470763999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46</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4000" w:history="1">
            <w:r w:rsidRPr="00A52EF3">
              <w:rPr>
                <w:rStyle w:val="Hipercze"/>
                <w:rFonts w:ascii="Times New Roman" w:hAnsi="Times New Roman" w:cs="Times New Roman"/>
                <w:noProof/>
              </w:rPr>
              <w:t>7.</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Odnawialne źródła energii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47</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4001" w:history="1">
            <w:r w:rsidRPr="00A52EF3">
              <w:rPr>
                <w:rStyle w:val="Hipercze"/>
                <w:rFonts w:ascii="Times New Roman" w:eastAsia="Calibri" w:hAnsi="Times New Roman" w:cs="Times New Roman"/>
                <w:noProof/>
              </w:rPr>
              <w:t>7.1.</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Energetyka wodna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49</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4002" w:history="1">
            <w:r w:rsidRPr="00A52EF3">
              <w:rPr>
                <w:rStyle w:val="Hipercze"/>
                <w:rFonts w:ascii="Times New Roman" w:eastAsia="Calibri" w:hAnsi="Times New Roman" w:cs="Times New Roman"/>
                <w:noProof/>
              </w:rPr>
              <w:t>7.2.</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Energetyka wiatrowa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49</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4003" w:history="1">
            <w:r w:rsidRPr="00A52EF3">
              <w:rPr>
                <w:rStyle w:val="Hipercze"/>
                <w:rFonts w:ascii="Times New Roman" w:eastAsia="Calibri" w:hAnsi="Times New Roman" w:cs="Times New Roman"/>
                <w:noProof/>
              </w:rPr>
              <w:t>7.3.</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Energetyka słoneczna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50</w:t>
            </w:r>
            <w:r w:rsidRPr="00A52EF3">
              <w:rPr>
                <w:rFonts w:ascii="Times New Roman" w:hAnsi="Times New Roman" w:cs="Times New Roman"/>
                <w:noProof/>
                <w:webHidden/>
              </w:rPr>
              <w:fldChar w:fldCharType="end"/>
            </w:r>
          </w:hyperlink>
        </w:p>
        <w:p w:rsidR="001D2286" w:rsidRPr="00A52EF3" w:rsidRDefault="001D2286">
          <w:pPr>
            <w:pStyle w:val="Spistreci2"/>
            <w:tabs>
              <w:tab w:val="left" w:pos="880"/>
            </w:tabs>
            <w:rPr>
              <w:rFonts w:ascii="Times New Roman" w:eastAsiaTheme="minorEastAsia" w:hAnsi="Times New Roman" w:cs="Times New Roman"/>
              <w:noProof/>
              <w:lang w:eastAsia="pl-PL"/>
            </w:rPr>
          </w:pPr>
          <w:hyperlink w:anchor="_Toc470764004" w:history="1">
            <w:r w:rsidRPr="00A52EF3">
              <w:rPr>
                <w:rStyle w:val="Hipercze"/>
                <w:rFonts w:ascii="Times New Roman" w:eastAsia="Calibri" w:hAnsi="Times New Roman" w:cs="Times New Roman"/>
                <w:noProof/>
              </w:rPr>
              <w:t>7.4.</w:t>
            </w:r>
            <w:r w:rsidRPr="00A52EF3">
              <w:rPr>
                <w:rFonts w:ascii="Times New Roman" w:eastAsiaTheme="minorEastAsia" w:hAnsi="Times New Roman" w:cs="Times New Roman"/>
                <w:noProof/>
                <w:lang w:eastAsia="pl-PL"/>
              </w:rPr>
              <w:tab/>
            </w:r>
            <w:r w:rsidRPr="00A52EF3">
              <w:rPr>
                <w:rStyle w:val="Hipercze"/>
                <w:rFonts w:ascii="Times New Roman" w:eastAsia="Calibri" w:hAnsi="Times New Roman" w:cs="Times New Roman"/>
                <w:noProof/>
              </w:rPr>
              <w:t>Biomasa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51</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4005" w:history="1">
            <w:r w:rsidRPr="00A52EF3">
              <w:rPr>
                <w:rStyle w:val="Hipercze"/>
                <w:rFonts w:ascii="Times New Roman" w:hAnsi="Times New Roman" w:cs="Times New Roman"/>
                <w:noProof/>
              </w:rPr>
              <w:t>8.</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Identyfikacja obszarów problemowych</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51</w:t>
            </w:r>
            <w:r w:rsidRPr="00A52EF3">
              <w:rPr>
                <w:rFonts w:ascii="Times New Roman" w:hAnsi="Times New Roman" w:cs="Times New Roman"/>
                <w:noProof/>
                <w:webHidden/>
              </w:rPr>
              <w:fldChar w:fldCharType="end"/>
            </w:r>
          </w:hyperlink>
        </w:p>
        <w:p w:rsidR="001D2286" w:rsidRPr="00A52EF3" w:rsidRDefault="001D2286">
          <w:pPr>
            <w:pStyle w:val="Spistreci1"/>
            <w:tabs>
              <w:tab w:val="left" w:pos="440"/>
            </w:tabs>
            <w:rPr>
              <w:rFonts w:ascii="Times New Roman" w:eastAsiaTheme="minorEastAsia" w:hAnsi="Times New Roman" w:cs="Times New Roman"/>
              <w:noProof/>
              <w:lang w:eastAsia="pl-PL"/>
            </w:rPr>
          </w:pPr>
          <w:hyperlink w:anchor="_Toc470764006" w:history="1">
            <w:r w:rsidRPr="00A52EF3">
              <w:rPr>
                <w:rStyle w:val="Hipercze"/>
                <w:rFonts w:ascii="Times New Roman" w:hAnsi="Times New Roman" w:cs="Times New Roman"/>
                <w:noProof/>
              </w:rPr>
              <w:t>9.</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Dotychczasowe działania Gminy Brody w zakresie efektywności energetycznej, gospodarki niskoemisyjnej oraz wykorzystania odnawialnych źródeł energii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52</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07" w:history="1">
            <w:r w:rsidRPr="00A52EF3">
              <w:rPr>
                <w:rStyle w:val="Hipercze"/>
                <w:rFonts w:ascii="Times New Roman" w:hAnsi="Times New Roman" w:cs="Times New Roman"/>
                <w:noProof/>
              </w:rPr>
              <w:t>10.</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Stan środowiska na terenie Gminy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53</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08" w:history="1">
            <w:r w:rsidRPr="00A52EF3">
              <w:rPr>
                <w:rStyle w:val="Hipercze"/>
                <w:rFonts w:ascii="Times New Roman" w:hAnsi="Times New Roman" w:cs="Times New Roman"/>
                <w:noProof/>
              </w:rPr>
              <w:t>10.1.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Główne zanieczyszczenia atmosferyczne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53</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09" w:history="1">
            <w:r w:rsidRPr="00A52EF3">
              <w:rPr>
                <w:rStyle w:val="Hipercze"/>
                <w:rFonts w:ascii="Times New Roman" w:hAnsi="Times New Roman" w:cs="Times New Roman"/>
                <w:noProof/>
              </w:rPr>
              <w:t>10.2.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Warunki meteorologiczne na terenie województwa świętokrzyskiego</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_Toc470764009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57</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0" w:history="1">
            <w:r w:rsidRPr="00A52EF3">
              <w:rPr>
                <w:rStyle w:val="Hipercze"/>
                <w:rFonts w:ascii="Times New Roman" w:hAnsi="Times New Roman" w:cs="Times New Roman"/>
                <w:noProof/>
              </w:rPr>
              <w:t>10.3.</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Ocena jakości powietrza w województwie świętokrzyskim</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58</w:t>
            </w:r>
            <w:r w:rsidRPr="00A52EF3">
              <w:rPr>
                <w:rFonts w:ascii="Times New Roman" w:hAnsi="Times New Roman" w:cs="Times New Roman"/>
                <w:noProof/>
                <w:webHidden/>
              </w:rPr>
              <w:fldChar w:fldCharType="end"/>
            </w:r>
          </w:hyperlink>
        </w:p>
        <w:p w:rsidR="00A52EF3" w:rsidRDefault="00A52EF3">
          <w:pPr>
            <w:pStyle w:val="Spistreci1"/>
            <w:tabs>
              <w:tab w:val="left" w:pos="660"/>
            </w:tabs>
            <w:rPr>
              <w:rStyle w:val="Hipercze"/>
              <w:rFonts w:ascii="Times New Roman" w:hAnsi="Times New Roman" w:cs="Times New Roman"/>
              <w:noProof/>
            </w:rPr>
          </w:pPr>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11" w:history="1">
            <w:r w:rsidRPr="00A52EF3">
              <w:rPr>
                <w:rStyle w:val="Hipercze"/>
                <w:rFonts w:ascii="Times New Roman" w:hAnsi="Times New Roman" w:cs="Times New Roman"/>
                <w:noProof/>
              </w:rPr>
              <w:t>11.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Inwentaryzacja emisji dwutlenku węgla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67</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2" w:history="1">
            <w:r w:rsidRPr="00A52EF3">
              <w:rPr>
                <w:rStyle w:val="Hipercze"/>
                <w:rFonts w:ascii="Times New Roman" w:eastAsia="Times New Roman" w:hAnsi="Times New Roman" w:cs="Times New Roman"/>
                <w:noProof/>
              </w:rPr>
              <w:t>11.1.</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Metodologia inwentaryzacji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67</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3" w:history="1">
            <w:r w:rsidRPr="00A52EF3">
              <w:rPr>
                <w:rStyle w:val="Hipercze"/>
                <w:rFonts w:ascii="Times New Roman" w:eastAsia="Times New Roman" w:hAnsi="Times New Roman" w:cs="Times New Roman"/>
                <w:noProof/>
              </w:rPr>
              <w:t>11.2.</w:t>
            </w:r>
            <w:r w:rsidRPr="00A52EF3">
              <w:rPr>
                <w:rFonts w:ascii="Times New Roman" w:eastAsiaTheme="minorEastAsia" w:hAnsi="Times New Roman" w:cs="Times New Roman"/>
                <w:noProof/>
                <w:lang w:eastAsia="pl-PL"/>
              </w:rPr>
              <w:tab/>
            </w:r>
            <w:r w:rsidRPr="00A52EF3">
              <w:rPr>
                <w:rStyle w:val="Hipercze"/>
                <w:rFonts w:ascii="Times New Roman" w:eastAsia="Times New Roman" w:hAnsi="Times New Roman" w:cs="Times New Roman"/>
                <w:noProof/>
              </w:rPr>
              <w:t>Wskaźniki i wielkości emisji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69</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4" w:history="1">
            <w:r w:rsidRPr="00A52EF3">
              <w:rPr>
                <w:rStyle w:val="Hipercze"/>
                <w:rFonts w:ascii="Times New Roman" w:hAnsi="Times New Roman" w:cs="Times New Roman"/>
                <w:noProof/>
              </w:rPr>
              <w:t>11.3.</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Budynki mieszkalne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71</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5" w:history="1">
            <w:r w:rsidRPr="00A52EF3">
              <w:rPr>
                <w:rStyle w:val="Hipercze"/>
                <w:rFonts w:ascii="Times New Roman" w:hAnsi="Times New Roman" w:cs="Times New Roman"/>
                <w:noProof/>
              </w:rPr>
              <w:t>11.4.</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Budynki użyteczności publicznej</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73</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6" w:history="1">
            <w:r w:rsidRPr="00A52EF3">
              <w:rPr>
                <w:rStyle w:val="Hipercze"/>
                <w:rFonts w:ascii="Times New Roman" w:hAnsi="Times New Roman" w:cs="Times New Roman"/>
                <w:noProof/>
              </w:rPr>
              <w:t>11.5.</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Spółdzielnie i wspólnoty mieszkaniowe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74</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7" w:history="1">
            <w:r w:rsidRPr="00A52EF3">
              <w:rPr>
                <w:rStyle w:val="Hipercze"/>
                <w:rFonts w:ascii="Times New Roman" w:hAnsi="Times New Roman" w:cs="Times New Roman"/>
                <w:noProof/>
              </w:rPr>
              <w:t>11.6.</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Obiekty sakralne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74</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8" w:history="1">
            <w:r w:rsidRPr="00A52EF3">
              <w:rPr>
                <w:rStyle w:val="Hipercze"/>
                <w:rFonts w:ascii="Times New Roman" w:hAnsi="Times New Roman" w:cs="Times New Roman"/>
                <w:noProof/>
              </w:rPr>
              <w:t>11.7.</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Oświetlenie uliczne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76</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19" w:history="1">
            <w:r w:rsidRPr="00A52EF3">
              <w:rPr>
                <w:rStyle w:val="Hipercze"/>
                <w:rFonts w:ascii="Times New Roman" w:hAnsi="Times New Roman" w:cs="Times New Roman"/>
                <w:noProof/>
              </w:rPr>
              <w:t>11.8.</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Transport</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_Toc470764019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76</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0" w:history="1">
            <w:r w:rsidRPr="00A52EF3">
              <w:rPr>
                <w:rStyle w:val="Hipercze"/>
                <w:rFonts w:ascii="Times New Roman" w:hAnsi="Times New Roman" w:cs="Times New Roman"/>
                <w:noProof/>
              </w:rPr>
              <w:t>11.9.</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Przemysł</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78</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1" w:history="1">
            <w:r w:rsidRPr="00A52EF3">
              <w:rPr>
                <w:rStyle w:val="Hipercze"/>
                <w:rFonts w:ascii="Times New Roman" w:hAnsi="Times New Roman" w:cs="Times New Roman"/>
                <w:noProof/>
              </w:rPr>
              <w:t>11.10.</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Usługi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79</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2" w:history="1">
            <w:r w:rsidRPr="00A52EF3">
              <w:rPr>
                <w:rStyle w:val="Hipercze"/>
                <w:rFonts w:ascii="Times New Roman" w:hAnsi="Times New Roman" w:cs="Times New Roman"/>
                <w:noProof/>
              </w:rPr>
              <w:t>11.11.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Podsumowanie inwentaryzacji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80</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3" w:history="1">
            <w:r w:rsidRPr="00A52EF3">
              <w:rPr>
                <w:rStyle w:val="Hipercze"/>
                <w:rFonts w:ascii="Times New Roman" w:hAnsi="Times New Roman" w:cs="Times New Roman"/>
                <w:noProof/>
              </w:rPr>
              <w:t>11.12.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Modernizacje budynków jednorodzinnych</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85</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24" w:history="1">
            <w:r w:rsidRPr="00A52EF3">
              <w:rPr>
                <w:rStyle w:val="Hipercze"/>
                <w:rFonts w:ascii="Times New Roman" w:hAnsi="Times New Roman" w:cs="Times New Roman"/>
                <w:noProof/>
              </w:rPr>
              <w:t>12.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Analiza ekonomiczna i harmonogram finansowania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88</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5" w:history="1">
            <w:r w:rsidRPr="00A52EF3">
              <w:rPr>
                <w:rStyle w:val="Hipercze"/>
                <w:rFonts w:ascii="Times New Roman" w:hAnsi="Times New Roman" w:cs="Times New Roman"/>
                <w:noProof/>
              </w:rPr>
              <w:t>12.1.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Źródła finansowania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88</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26" w:history="1">
            <w:r w:rsidRPr="00A52EF3">
              <w:rPr>
                <w:rStyle w:val="Hipercze"/>
                <w:rFonts w:ascii="Times New Roman" w:hAnsi="Times New Roman" w:cs="Times New Roman"/>
                <w:noProof/>
              </w:rPr>
              <w:t>13.</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Strategia do 2020 roku oraz działania i środki zaplanowane na okres objęty planem</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111</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27" w:history="1">
            <w:r w:rsidRPr="00A52EF3">
              <w:rPr>
                <w:rStyle w:val="Hipercze"/>
                <w:rFonts w:ascii="Times New Roman" w:hAnsi="Times New Roman" w:cs="Times New Roman"/>
                <w:noProof/>
              </w:rPr>
              <w:t>13.1.</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Długoterminowa strategia Gminy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111</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28" w:history="1">
            <w:r w:rsidRPr="00A52EF3">
              <w:rPr>
                <w:rStyle w:val="Hipercze"/>
                <w:rFonts w:ascii="Times New Roman" w:hAnsi="Times New Roman" w:cs="Times New Roman"/>
                <w:noProof/>
              </w:rPr>
              <w:t>13.2.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Termomodernizacja i remonty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112</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29" w:history="1">
            <w:r w:rsidRPr="00A52EF3">
              <w:rPr>
                <w:rStyle w:val="Hipercze"/>
                <w:rFonts w:ascii="Times New Roman" w:hAnsi="Times New Roman" w:cs="Times New Roman"/>
                <w:noProof/>
              </w:rPr>
              <w:t>13.3.</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Dopłaty do wymiany kotłów</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_Toc470764029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112</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30" w:history="1">
            <w:r w:rsidRPr="00A52EF3">
              <w:rPr>
                <w:rStyle w:val="Hipercze"/>
                <w:rFonts w:ascii="Times New Roman" w:hAnsi="Times New Roman" w:cs="Times New Roman"/>
                <w:noProof/>
              </w:rPr>
              <w:t>13.4.</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Wspieranie inwestycji OZE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113</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31" w:history="1">
            <w:r w:rsidRPr="00A52EF3">
              <w:rPr>
                <w:rStyle w:val="Hipercze"/>
                <w:rFonts w:ascii="Times New Roman" w:hAnsi="Times New Roman" w:cs="Times New Roman"/>
                <w:noProof/>
              </w:rPr>
              <w:t>13.5.</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Zwiększenie świadomości ekologicznej mieszkańców i promowanie wiedzy o OZE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113</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32" w:history="1">
            <w:r w:rsidRPr="00A52EF3">
              <w:rPr>
                <w:rStyle w:val="Hipercze"/>
                <w:rFonts w:ascii="Times New Roman" w:hAnsi="Times New Roman" w:cs="Times New Roman"/>
                <w:noProof/>
              </w:rPr>
              <w:t>13.6.</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Wspieranie produktów i usług efektywnych energetycznie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113</w:t>
            </w:r>
            <w:r w:rsidRPr="00A52EF3">
              <w:rPr>
                <w:rFonts w:ascii="Times New Roman" w:hAnsi="Times New Roman" w:cs="Times New Roman"/>
                <w:noProof/>
                <w:webHidden/>
              </w:rPr>
              <w:fldChar w:fldCharType="end"/>
            </w:r>
          </w:hyperlink>
        </w:p>
        <w:p w:rsidR="001D2286" w:rsidRPr="00A52EF3" w:rsidRDefault="001D2286">
          <w:pPr>
            <w:pStyle w:val="Spistreci3"/>
            <w:tabs>
              <w:tab w:val="left" w:pos="1320"/>
              <w:tab w:val="right" w:leader="dot" w:pos="9062"/>
            </w:tabs>
            <w:rPr>
              <w:rFonts w:ascii="Times New Roman" w:eastAsiaTheme="minorEastAsia" w:hAnsi="Times New Roman" w:cs="Times New Roman"/>
              <w:noProof/>
              <w:lang w:eastAsia="pl-PL"/>
            </w:rPr>
          </w:pPr>
          <w:hyperlink w:anchor="_Toc470764033" w:history="1">
            <w:r w:rsidRPr="00A52EF3">
              <w:rPr>
                <w:rStyle w:val="Hipercze"/>
                <w:rFonts w:ascii="Times New Roman" w:hAnsi="Times New Roman" w:cs="Times New Roman"/>
                <w:noProof/>
              </w:rPr>
              <w:t>13.7.</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Uwzględnianie w planach zagospodarowania przestrzennego inwestycji efektywnych energetycznie.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114</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34" w:history="1">
            <w:r w:rsidRPr="00A52EF3">
              <w:rPr>
                <w:rStyle w:val="Hipercze"/>
                <w:rFonts w:ascii="Times New Roman" w:hAnsi="Times New Roman" w:cs="Times New Roman"/>
                <w:noProof/>
              </w:rPr>
              <w:t>14.</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Analiza SWOT</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114</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35" w:history="1">
            <w:r w:rsidRPr="00A52EF3">
              <w:rPr>
                <w:rStyle w:val="Hipercze"/>
                <w:rFonts w:ascii="Times New Roman" w:hAnsi="Times New Roman" w:cs="Times New Roman"/>
                <w:noProof/>
              </w:rPr>
              <w:t>15.</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Krótko/ średnioterminowe działania/ zadania na lata 2016 – 2020 w Gminie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116</w:t>
            </w:r>
            <w:r w:rsidRPr="00A52EF3">
              <w:rPr>
                <w:rFonts w:ascii="Times New Roman" w:hAnsi="Times New Roman" w:cs="Times New Roman"/>
                <w:noProof/>
                <w:webHidden/>
              </w:rPr>
              <w:fldChar w:fldCharType="end"/>
            </w:r>
          </w:hyperlink>
        </w:p>
        <w:p w:rsidR="001D2286" w:rsidRPr="00A52EF3" w:rsidRDefault="001D2286">
          <w:pPr>
            <w:pStyle w:val="Spistreci2"/>
            <w:rPr>
              <w:rFonts w:ascii="Times New Roman" w:eastAsiaTheme="minorEastAsia" w:hAnsi="Times New Roman" w:cs="Times New Roman"/>
              <w:noProof/>
              <w:lang w:eastAsia="pl-PL"/>
            </w:rPr>
          </w:pPr>
          <w:hyperlink r:id="rId13" w:anchor="_Toc470764036" w:history="1">
            <w:r w:rsidRPr="00A52EF3">
              <w:rPr>
                <w:rStyle w:val="Hipercze"/>
                <w:rFonts w:ascii="Times New Roman" w:hAnsi="Times New Roman" w:cs="Times New Roman"/>
                <w:noProof/>
              </w:rPr>
              <w:t>14.1. Krótko/ średnioterminowe działania/ zadania na lata 2016 – 2020 w Gminie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_Toc470764036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121</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37" w:history="1">
            <w:r w:rsidRPr="00A52EF3">
              <w:rPr>
                <w:rStyle w:val="Hipercze"/>
                <w:rFonts w:ascii="Times New Roman" w:hAnsi="Times New Roman" w:cs="Times New Roman"/>
                <w:noProof/>
              </w:rPr>
              <w:t>14.2.</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Analiza porównawcza</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_Toc470764037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125</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38" w:history="1">
            <w:r w:rsidRPr="00A52EF3">
              <w:rPr>
                <w:rStyle w:val="Hipercze"/>
                <w:rFonts w:ascii="Times New Roman" w:hAnsi="Times New Roman" w:cs="Times New Roman"/>
                <w:noProof/>
              </w:rPr>
              <w:t>14.3.</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Działanie nieinswestycyjne.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_Toc470764038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125</w:t>
            </w:r>
            <w:r w:rsidRPr="00A52EF3">
              <w:rPr>
                <w:rFonts w:ascii="Times New Roman" w:hAnsi="Times New Roman" w:cs="Times New Roman"/>
                <w:noProof/>
                <w:webHidden/>
              </w:rPr>
              <w:fldChar w:fldCharType="end"/>
            </w:r>
          </w:hyperlink>
        </w:p>
        <w:p w:rsidR="001D2286" w:rsidRPr="00A52EF3" w:rsidRDefault="001D2286">
          <w:pPr>
            <w:pStyle w:val="Spistreci2"/>
            <w:tabs>
              <w:tab w:val="left" w:pos="1100"/>
            </w:tabs>
            <w:rPr>
              <w:rFonts w:ascii="Times New Roman" w:eastAsiaTheme="minorEastAsia" w:hAnsi="Times New Roman" w:cs="Times New Roman"/>
              <w:noProof/>
              <w:lang w:eastAsia="pl-PL"/>
            </w:rPr>
          </w:pPr>
          <w:hyperlink w:anchor="_Toc470764039" w:history="1">
            <w:r w:rsidRPr="00A52EF3">
              <w:rPr>
                <w:rStyle w:val="Hipercze"/>
                <w:rFonts w:ascii="Times New Roman" w:hAnsi="Times New Roman" w:cs="Times New Roman"/>
                <w:noProof/>
              </w:rPr>
              <w:t>14.4.</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Planowanie przestrzenne</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_Toc470764039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126</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0" w:history="1">
            <w:r w:rsidRPr="00A52EF3">
              <w:rPr>
                <w:rStyle w:val="Hipercze"/>
                <w:rFonts w:ascii="Times New Roman" w:hAnsi="Times New Roman" w:cs="Times New Roman"/>
                <w:noProof/>
              </w:rPr>
              <w:t>15.</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Strategii komunikacji</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_Toc470764040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126</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1" w:history="1">
            <w:r w:rsidRPr="00A52EF3">
              <w:rPr>
                <w:rStyle w:val="Hipercze"/>
                <w:rFonts w:ascii="Times New Roman" w:hAnsi="Times New Roman" w:cs="Times New Roman"/>
                <w:noProof/>
              </w:rPr>
              <w:t>16.</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Efekt realizacji działań objętych Planem Gospodarki Niskoemisyjnej</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_Toc470764041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127</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2" w:history="1">
            <w:r w:rsidRPr="00A52EF3">
              <w:rPr>
                <w:rStyle w:val="Hipercze"/>
                <w:rFonts w:ascii="Times New Roman" w:hAnsi="Times New Roman" w:cs="Times New Roman"/>
                <w:noProof/>
              </w:rPr>
              <w:t>17.</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Aspekty organizacyjne i monitoring realizacji Planu Gospodarki Niskoemisyjnej dla Gminy Brody</w:t>
            </w:r>
            <w:r w:rsidR="00A52EF3">
              <w:rPr>
                <w:rStyle w:val="Hipercze"/>
                <w:rFonts w:ascii="Times New Roman" w:hAnsi="Times New Roman" w:cs="Times New Roman"/>
                <w:noProof/>
              </w:rPr>
              <w:t>…</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_Toc470764042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129</w:t>
            </w:r>
            <w:r w:rsidRPr="00A52EF3">
              <w:rPr>
                <w:rFonts w:ascii="Times New Roman" w:hAnsi="Times New Roman" w:cs="Times New Roman"/>
                <w:noProof/>
                <w:webHidden/>
              </w:rPr>
              <w:fldChar w:fldCharType="end"/>
            </w:r>
          </w:hyperlink>
        </w:p>
        <w:p w:rsidR="00A52EF3" w:rsidRDefault="00A52EF3">
          <w:pPr>
            <w:pStyle w:val="Spistreci1"/>
            <w:tabs>
              <w:tab w:val="left" w:pos="660"/>
            </w:tabs>
            <w:rPr>
              <w:rStyle w:val="Hipercze"/>
              <w:rFonts w:ascii="Times New Roman" w:hAnsi="Times New Roman" w:cs="Times New Roman"/>
              <w:noProof/>
            </w:rPr>
          </w:pPr>
        </w:p>
        <w:p w:rsidR="00A52EF3" w:rsidRDefault="00A52EF3">
          <w:pPr>
            <w:pStyle w:val="Spistreci1"/>
            <w:tabs>
              <w:tab w:val="left" w:pos="660"/>
            </w:tabs>
            <w:rPr>
              <w:rStyle w:val="Hipercze"/>
              <w:rFonts w:ascii="Times New Roman" w:hAnsi="Times New Roman" w:cs="Times New Roman"/>
              <w:noProof/>
            </w:rPr>
          </w:pPr>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3" w:history="1">
            <w:r w:rsidRPr="00A52EF3">
              <w:rPr>
                <w:rStyle w:val="Hipercze"/>
                <w:rFonts w:ascii="Times New Roman" w:hAnsi="Times New Roman" w:cs="Times New Roman"/>
                <w:noProof/>
              </w:rPr>
              <w:t>18.</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Schemat monitorowania Planu Gospodarki Niskoemisyjnej Gminy Brody</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_Toc470764043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131</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4" w:history="1">
            <w:r w:rsidRPr="00A52EF3">
              <w:rPr>
                <w:rStyle w:val="Hipercze"/>
                <w:rFonts w:ascii="Times New Roman" w:hAnsi="Times New Roman" w:cs="Times New Roman"/>
                <w:noProof/>
              </w:rPr>
              <w:t>19.</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Planowane działania monitorujące dla osób zaangażowanych w powstanie Planu Gospodarki Niskoemisyjnej</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_Toc470764044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131</w:t>
            </w:r>
            <w:r w:rsidRPr="00A52EF3">
              <w:rPr>
                <w:rFonts w:ascii="Times New Roman" w:hAnsi="Times New Roman" w:cs="Times New Roman"/>
                <w:noProof/>
                <w:webHidden/>
              </w:rPr>
              <w:fldChar w:fldCharType="end"/>
            </w:r>
          </w:hyperlink>
        </w:p>
        <w:p w:rsidR="001D2286" w:rsidRPr="00A52EF3" w:rsidRDefault="001D2286">
          <w:pPr>
            <w:pStyle w:val="Spistreci1"/>
            <w:tabs>
              <w:tab w:val="left" w:pos="660"/>
            </w:tabs>
            <w:rPr>
              <w:rFonts w:ascii="Times New Roman" w:eastAsiaTheme="minorEastAsia" w:hAnsi="Times New Roman" w:cs="Times New Roman"/>
              <w:noProof/>
              <w:lang w:eastAsia="pl-PL"/>
            </w:rPr>
          </w:pPr>
          <w:hyperlink w:anchor="_Toc470764045" w:history="1">
            <w:r w:rsidRPr="00A52EF3">
              <w:rPr>
                <w:rStyle w:val="Hipercze"/>
                <w:rFonts w:ascii="Times New Roman" w:hAnsi="Times New Roman" w:cs="Times New Roman"/>
                <w:noProof/>
              </w:rPr>
              <w:t>20.</w:t>
            </w:r>
            <w:r w:rsidRPr="00A52EF3">
              <w:rPr>
                <w:rFonts w:ascii="Times New Roman" w:eastAsiaTheme="minorEastAsia" w:hAnsi="Times New Roman" w:cs="Times New Roman"/>
                <w:noProof/>
                <w:lang w:eastAsia="pl-PL"/>
              </w:rPr>
              <w:tab/>
            </w:r>
            <w:r w:rsidRPr="00A52EF3">
              <w:rPr>
                <w:rStyle w:val="Hipercze"/>
                <w:rFonts w:ascii="Times New Roman" w:hAnsi="Times New Roman" w:cs="Times New Roman"/>
                <w:noProof/>
              </w:rPr>
              <w:t>Ocena skuteczności Planu Gospodarki Niskoemisyjnej</w:t>
            </w:r>
            <w:r w:rsidRPr="00A52EF3">
              <w:rPr>
                <w:rFonts w:ascii="Times New Roman" w:hAnsi="Times New Roman" w:cs="Times New Roman"/>
                <w:noProof/>
                <w:webHidden/>
              </w:rPr>
              <w:tab/>
            </w:r>
            <w:r w:rsidRPr="00A52EF3">
              <w:rPr>
                <w:rFonts w:ascii="Times New Roman" w:hAnsi="Times New Roman" w:cs="Times New Roman"/>
                <w:noProof/>
                <w:webHidden/>
              </w:rPr>
              <w:fldChar w:fldCharType="begin"/>
            </w:r>
            <w:r w:rsidRPr="00A52EF3">
              <w:rPr>
                <w:rFonts w:ascii="Times New Roman" w:hAnsi="Times New Roman" w:cs="Times New Roman"/>
                <w:noProof/>
                <w:webHidden/>
              </w:rPr>
              <w:instrText xml:space="preserve"> PAGEREF _Toc470764045 \h </w:instrText>
            </w:r>
            <w:r w:rsidRPr="00A52EF3">
              <w:rPr>
                <w:rFonts w:ascii="Times New Roman" w:hAnsi="Times New Roman" w:cs="Times New Roman"/>
                <w:noProof/>
                <w:webHidden/>
              </w:rPr>
            </w:r>
            <w:r w:rsidRPr="00A52EF3">
              <w:rPr>
                <w:rFonts w:ascii="Times New Roman" w:hAnsi="Times New Roman" w:cs="Times New Roman"/>
                <w:noProof/>
                <w:webHidden/>
              </w:rPr>
              <w:fldChar w:fldCharType="separate"/>
            </w:r>
            <w:r w:rsidR="00E675C7">
              <w:rPr>
                <w:rFonts w:ascii="Times New Roman" w:hAnsi="Times New Roman" w:cs="Times New Roman"/>
                <w:noProof/>
                <w:webHidden/>
              </w:rPr>
              <w:t>134</w:t>
            </w:r>
            <w:r w:rsidRPr="00A52EF3">
              <w:rPr>
                <w:rFonts w:ascii="Times New Roman" w:hAnsi="Times New Roman" w:cs="Times New Roman"/>
                <w:noProof/>
                <w:webHidden/>
              </w:rPr>
              <w:fldChar w:fldCharType="end"/>
            </w:r>
          </w:hyperlink>
        </w:p>
        <w:p w:rsidR="00004E5F" w:rsidRPr="00A52EF3" w:rsidRDefault="00572C29" w:rsidP="00F25FCA">
          <w:pPr>
            <w:spacing w:line="360" w:lineRule="auto"/>
            <w:rPr>
              <w:rFonts w:ascii="Times New Roman" w:hAnsi="Times New Roman" w:cs="Times New Roman"/>
            </w:rPr>
            <w:sectPr w:rsidR="00004E5F" w:rsidRPr="00A52EF3">
              <w:headerReference w:type="default" r:id="rId14"/>
              <w:pgSz w:w="11906" w:h="16838"/>
              <w:pgMar w:top="1417" w:right="1417" w:bottom="1417" w:left="1417" w:header="708" w:footer="708" w:gutter="0"/>
              <w:cols w:space="708"/>
              <w:docGrid w:linePitch="360"/>
            </w:sectPr>
          </w:pPr>
          <w:r w:rsidRPr="00A52EF3">
            <w:rPr>
              <w:rFonts w:ascii="Times New Roman" w:hAnsi="Times New Roman" w:cs="Times New Roman"/>
              <w:b/>
              <w:bCs/>
              <w:sz w:val="24"/>
              <w:szCs w:val="24"/>
            </w:rPr>
            <w:fldChar w:fldCharType="end"/>
          </w:r>
        </w:p>
      </w:sdtContent>
    </w:sdt>
    <w:p w:rsidR="004632A9" w:rsidRPr="00A52EF3" w:rsidRDefault="007C7474" w:rsidP="00A54FB2">
      <w:pPr>
        <w:pStyle w:val="Nagwek1"/>
        <w:numPr>
          <w:ilvl w:val="0"/>
          <w:numId w:val="86"/>
        </w:numPr>
        <w:rPr>
          <w:rFonts w:ascii="Times New Roman" w:hAnsi="Times New Roman" w:cs="Times New Roman"/>
          <w:color w:val="auto"/>
        </w:rPr>
      </w:pPr>
      <w:bookmarkStart w:id="1" w:name="_Toc470763978"/>
      <w:r w:rsidRPr="00A52EF3">
        <w:rPr>
          <w:rFonts w:ascii="Times New Roman" w:hAnsi="Times New Roman" w:cs="Times New Roman"/>
          <w:color w:val="auto"/>
        </w:rPr>
        <w:lastRenderedPageBreak/>
        <w:t>Streszczenie</w:t>
      </w:r>
      <w:bookmarkEnd w:id="1"/>
    </w:p>
    <w:p w:rsidR="007C7474" w:rsidRPr="00A52EF3" w:rsidRDefault="007C7474" w:rsidP="00F25FCA">
      <w:pPr>
        <w:autoSpaceDE w:val="0"/>
        <w:autoSpaceDN w:val="0"/>
        <w:adjustRightInd w:val="0"/>
        <w:spacing w:after="0" w:line="360" w:lineRule="auto"/>
        <w:ind w:firstLine="720"/>
        <w:jc w:val="both"/>
        <w:rPr>
          <w:rFonts w:ascii="Times New Roman" w:eastAsiaTheme="minorEastAsia" w:hAnsi="Times New Roman" w:cs="Times New Roman"/>
          <w:sz w:val="24"/>
          <w:szCs w:val="24"/>
          <w:lang w:eastAsia="pl-PL"/>
        </w:rPr>
      </w:pPr>
      <w:r w:rsidRPr="00A52EF3">
        <w:rPr>
          <w:rFonts w:ascii="Times New Roman" w:eastAsiaTheme="minorEastAsia" w:hAnsi="Times New Roman" w:cs="Times New Roman"/>
          <w:sz w:val="24"/>
          <w:szCs w:val="24"/>
          <w:lang w:eastAsia="pl-PL"/>
        </w:rPr>
        <w:t>Gospodarka niskoemisyjna opiera się przede wszystkim na minimalizacji wykorzystania paliw kopalnych, zwiększeniu efektywności energetycznej, wykorzystaniu odnawialnych źródeł energii i zastosowaniu technologii ograniczających emisję.</w:t>
      </w:r>
    </w:p>
    <w:p w:rsidR="007C7474" w:rsidRPr="00A52EF3" w:rsidRDefault="007C7474" w:rsidP="00F25FCA">
      <w:pPr>
        <w:spacing w:after="0" w:line="360" w:lineRule="auto"/>
        <w:ind w:firstLine="720"/>
        <w:jc w:val="both"/>
        <w:rPr>
          <w:rFonts w:ascii="Times New Roman" w:eastAsiaTheme="minorEastAsia" w:hAnsi="Times New Roman" w:cs="Times New Roman"/>
          <w:sz w:val="24"/>
          <w:lang w:eastAsia="pl-PL"/>
        </w:rPr>
      </w:pPr>
      <w:r w:rsidRPr="00A52EF3">
        <w:rPr>
          <w:rFonts w:ascii="Times New Roman" w:eastAsiaTheme="minorEastAsia" w:hAnsi="Times New Roman" w:cs="Times New Roman"/>
          <w:sz w:val="24"/>
          <w:szCs w:val="24"/>
          <w:lang w:eastAsia="pl-PL"/>
        </w:rPr>
        <w:t>W ramach przygotowywania</w:t>
      </w:r>
      <w:r w:rsidRPr="00A52EF3">
        <w:rPr>
          <w:rFonts w:ascii="Times New Roman" w:eastAsia="Calibri" w:hAnsi="Times New Roman" w:cs="Times New Roman"/>
          <w:sz w:val="24"/>
          <w:szCs w:val="24"/>
          <w:lang w:eastAsia="pl-PL"/>
        </w:rPr>
        <w:t xml:space="preserve"> Planu Gospodarki Niskoemisyjnej dla Gminy Brody (PGN) przeprowadzano</w:t>
      </w:r>
      <w:r w:rsidRPr="00A52EF3">
        <w:rPr>
          <w:rFonts w:ascii="Times New Roman" w:eastAsiaTheme="minorEastAsia" w:hAnsi="Times New Roman" w:cs="Times New Roman"/>
          <w:sz w:val="24"/>
          <w:szCs w:val="24"/>
          <w:lang w:eastAsia="pl-PL"/>
        </w:rPr>
        <w:t xml:space="preserve"> inwentaryzacja zużycia energii i emisji gazów cieplarnianych, wyznaczono obszary problemowe oraz </w:t>
      </w:r>
      <w:r w:rsidRPr="00A52EF3">
        <w:rPr>
          <w:rFonts w:ascii="Times New Roman" w:eastAsia="Calibri" w:hAnsi="Times New Roman" w:cs="Times New Roman"/>
          <w:sz w:val="24"/>
          <w:szCs w:val="24"/>
          <w:lang w:eastAsia="pl-PL"/>
        </w:rPr>
        <w:t>przeanalizowano</w:t>
      </w:r>
      <w:r w:rsidRPr="00A52EF3">
        <w:rPr>
          <w:rFonts w:ascii="Times New Roman" w:eastAsiaTheme="minorEastAsia" w:hAnsi="Times New Roman" w:cs="Times New Roman"/>
          <w:sz w:val="24"/>
          <w:szCs w:val="24"/>
          <w:lang w:eastAsia="pl-PL"/>
        </w:rPr>
        <w:t xml:space="preserve"> możliwości redukcji zużycia energii.</w:t>
      </w:r>
      <w:r w:rsidRPr="00A52EF3">
        <w:rPr>
          <w:rFonts w:ascii="Times New Roman" w:eastAsia="Calibri" w:hAnsi="Times New Roman" w:cs="Times New Roman"/>
          <w:sz w:val="24"/>
          <w:szCs w:val="24"/>
          <w:lang w:eastAsia="pl-PL"/>
        </w:rPr>
        <w:t xml:space="preserve"> O</w:t>
      </w:r>
      <w:r w:rsidRPr="00A52EF3">
        <w:rPr>
          <w:rFonts w:ascii="Times New Roman" w:eastAsiaTheme="minorEastAsia" w:hAnsi="Times New Roman" w:cs="Times New Roman"/>
          <w:sz w:val="24"/>
          <w:szCs w:val="24"/>
          <w:lang w:eastAsia="pl-PL"/>
        </w:rPr>
        <w:t>pracowywan</w:t>
      </w:r>
      <w:r w:rsidRPr="00A52EF3">
        <w:rPr>
          <w:rFonts w:ascii="Times New Roman" w:eastAsia="Calibri" w:hAnsi="Times New Roman" w:cs="Times New Roman"/>
          <w:sz w:val="24"/>
          <w:szCs w:val="24"/>
          <w:lang w:eastAsia="pl-PL"/>
        </w:rPr>
        <w:t xml:space="preserve">o </w:t>
      </w:r>
      <w:r w:rsidRPr="00A52EF3">
        <w:rPr>
          <w:rFonts w:ascii="Times New Roman" w:eastAsiaTheme="minorEastAsia" w:hAnsi="Times New Roman" w:cs="Times New Roman"/>
          <w:sz w:val="24"/>
          <w:szCs w:val="24"/>
          <w:lang w:eastAsia="pl-PL"/>
        </w:rPr>
        <w:t>harmonogram realizacji i możliwe źródła finansowania. Ustalon</w:t>
      </w:r>
      <w:r w:rsidRPr="00A52EF3">
        <w:rPr>
          <w:rFonts w:ascii="Times New Roman" w:eastAsia="Calibri" w:hAnsi="Times New Roman" w:cs="Times New Roman"/>
          <w:sz w:val="24"/>
          <w:szCs w:val="24"/>
          <w:lang w:eastAsia="pl-PL"/>
        </w:rPr>
        <w:t xml:space="preserve">o </w:t>
      </w:r>
      <w:r w:rsidRPr="00A52EF3">
        <w:rPr>
          <w:rFonts w:ascii="Times New Roman" w:eastAsiaTheme="minorEastAsia" w:hAnsi="Times New Roman" w:cs="Times New Roman"/>
          <w:sz w:val="24"/>
          <w:szCs w:val="24"/>
          <w:lang w:eastAsia="pl-PL"/>
        </w:rPr>
        <w:t>zasady</w:t>
      </w:r>
      <w:r w:rsidRPr="00A52EF3">
        <w:rPr>
          <w:rFonts w:ascii="Times New Roman" w:eastAsiaTheme="minorEastAsia" w:hAnsi="Times New Roman" w:cs="Times New Roman"/>
          <w:sz w:val="24"/>
          <w:lang w:eastAsia="pl-PL"/>
        </w:rPr>
        <w:t xml:space="preserve"> monitorowania i raportowania wyników. Przeanalizowano również możliwości finansowania proponowanych działań w zakresie gospodarki niskoemisyjnej i odnawialnych źródeł energii. </w:t>
      </w:r>
    </w:p>
    <w:p w:rsidR="007C7474" w:rsidRPr="00A52EF3" w:rsidRDefault="007C7474" w:rsidP="00F25FCA">
      <w:pPr>
        <w:spacing w:after="0" w:line="360" w:lineRule="auto"/>
        <w:ind w:firstLine="720"/>
        <w:jc w:val="both"/>
        <w:rPr>
          <w:rFonts w:ascii="Times New Roman" w:eastAsiaTheme="minorEastAsia" w:hAnsi="Times New Roman" w:cs="Times New Roman"/>
          <w:sz w:val="24"/>
          <w:lang w:eastAsia="pl-PL"/>
        </w:rPr>
      </w:pPr>
      <w:r w:rsidRPr="00A52EF3">
        <w:rPr>
          <w:rFonts w:ascii="Times New Roman" w:eastAsiaTheme="minorEastAsia" w:hAnsi="Times New Roman" w:cs="Times New Roman"/>
          <w:sz w:val="24"/>
          <w:lang w:eastAsia="pl-PL"/>
        </w:rPr>
        <w:t xml:space="preserve">Plan gospodarki niskoemisyjnej obejmuje cały obszar Gminy Brody. Uwzględnia wszystkie sektory i podmioty będące producentami i odbiorcami energii, z wyjątkiem instalacji objętych unijnym systemem handlu uprawnieniami do emisji (ETS). </w:t>
      </w:r>
    </w:p>
    <w:p w:rsidR="007C7474" w:rsidRPr="00A52EF3" w:rsidRDefault="007C7474" w:rsidP="00F25FCA">
      <w:pPr>
        <w:spacing w:after="0" w:line="360" w:lineRule="auto"/>
        <w:ind w:firstLine="720"/>
        <w:jc w:val="both"/>
        <w:rPr>
          <w:rFonts w:ascii="Times New Roman" w:eastAsiaTheme="minorEastAsia" w:hAnsi="Times New Roman" w:cs="Times New Roman"/>
          <w:sz w:val="24"/>
          <w:lang w:eastAsia="pl-PL"/>
        </w:rPr>
      </w:pPr>
      <w:r w:rsidRPr="00A52EF3">
        <w:rPr>
          <w:rFonts w:ascii="Times New Roman" w:eastAsiaTheme="minorEastAsia" w:hAnsi="Times New Roman" w:cs="Times New Roman"/>
          <w:sz w:val="24"/>
          <w:lang w:eastAsia="pl-PL"/>
        </w:rPr>
        <w:t xml:space="preserve">PGN jest spójny z obowiązującymi przepisami prawa wspólnotowego i krajowego </w:t>
      </w:r>
      <w:r w:rsidRPr="00A52EF3">
        <w:rPr>
          <w:rFonts w:ascii="Times New Roman" w:eastAsiaTheme="minorEastAsia" w:hAnsi="Times New Roman" w:cs="Times New Roman"/>
          <w:sz w:val="24"/>
          <w:lang w:eastAsia="pl-PL"/>
        </w:rPr>
        <w:br/>
        <w:t>w tym z innymi planami, programami i dokumentami strategicznymi na poziomie krajowym, wojewódzkim, powiatowym i gminnym.</w:t>
      </w:r>
    </w:p>
    <w:p w:rsidR="007C7474" w:rsidRPr="00A52EF3" w:rsidRDefault="007C7474" w:rsidP="00F25FCA">
      <w:pPr>
        <w:spacing w:after="0" w:line="360" w:lineRule="auto"/>
        <w:ind w:firstLine="720"/>
        <w:jc w:val="both"/>
        <w:rPr>
          <w:rFonts w:ascii="Times New Roman" w:eastAsiaTheme="minorEastAsia" w:hAnsi="Times New Roman" w:cs="Times New Roman"/>
          <w:sz w:val="24"/>
          <w:lang w:eastAsia="pl-PL"/>
        </w:rPr>
      </w:pPr>
    </w:p>
    <w:p w:rsidR="007C7474" w:rsidRPr="00A52EF3" w:rsidRDefault="007C7474" w:rsidP="00F25FCA">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Dla Gminy Brody założono następujące cele:</w:t>
      </w:r>
    </w:p>
    <w:p w:rsidR="007C7474" w:rsidRPr="00A52EF3" w:rsidRDefault="007C7474" w:rsidP="00F25FCA">
      <w:pPr>
        <w:spacing w:after="0" w:line="360" w:lineRule="auto"/>
        <w:jc w:val="both"/>
        <w:rPr>
          <w:rFonts w:ascii="Times New Roman" w:hAnsi="Times New Roman" w:cs="Times New Roman"/>
          <w:sz w:val="24"/>
          <w:szCs w:val="24"/>
        </w:rPr>
      </w:pPr>
    </w:p>
    <w:p w:rsidR="004E771F" w:rsidRPr="00A52EF3" w:rsidRDefault="004E771F" w:rsidP="00F25FCA">
      <w:pPr>
        <w:pStyle w:val="Akapitzlist"/>
        <w:numPr>
          <w:ilvl w:val="0"/>
          <w:numId w:val="2"/>
        </w:numPr>
        <w:spacing w:line="360" w:lineRule="auto"/>
        <w:jc w:val="both"/>
        <w:rPr>
          <w:rFonts w:ascii="Times New Roman" w:eastAsia="Times New Roman" w:hAnsi="Times New Roman" w:cs="Times New Roman"/>
          <w:sz w:val="24"/>
          <w:szCs w:val="24"/>
        </w:rPr>
      </w:pPr>
      <w:r w:rsidRPr="00A52EF3">
        <w:rPr>
          <w:rFonts w:ascii="Times New Roman" w:hAnsi="Times New Roman" w:cs="Times New Roman"/>
          <w:sz w:val="24"/>
          <w:szCs w:val="24"/>
        </w:rPr>
        <w:t>redukcję emisji gazów cieplarnianych o ok. 3341,09 Mg CO</w:t>
      </w:r>
      <w:r w:rsidRPr="00A52EF3">
        <w:rPr>
          <w:rFonts w:ascii="Times New Roman" w:hAnsi="Times New Roman" w:cs="Times New Roman"/>
          <w:sz w:val="24"/>
          <w:szCs w:val="24"/>
          <w:vertAlign w:val="subscript"/>
        </w:rPr>
        <w:t>2</w:t>
      </w:r>
      <w:r w:rsidR="0010282B" w:rsidRPr="00A52EF3">
        <w:rPr>
          <w:rFonts w:ascii="Times New Roman" w:hAnsi="Times New Roman" w:cs="Times New Roman"/>
          <w:sz w:val="24"/>
          <w:szCs w:val="24"/>
        </w:rPr>
        <w:t>, co w przeliczeniu daje 5,93%,</w:t>
      </w:r>
      <w:r w:rsidR="0010282B" w:rsidRPr="00A52EF3">
        <w:rPr>
          <w:rFonts w:ascii="Times New Roman" w:hAnsi="Times New Roman" w:cs="Times New Roman"/>
          <w:sz w:val="24"/>
          <w:szCs w:val="24"/>
          <w:vertAlign w:val="subscript"/>
        </w:rPr>
        <w:t xml:space="preserve"> </w:t>
      </w:r>
      <w:r w:rsidR="0010282B" w:rsidRPr="00A52EF3">
        <w:rPr>
          <w:rFonts w:ascii="Times New Roman" w:hAnsi="Times New Roman" w:cs="Times New Roman"/>
          <w:sz w:val="24"/>
          <w:szCs w:val="24"/>
        </w:rPr>
        <w:t xml:space="preserve">w porównaniu do </w:t>
      </w:r>
      <w:r w:rsidR="00E67F9A" w:rsidRPr="00A52EF3">
        <w:rPr>
          <w:rFonts w:ascii="Times New Roman" w:hAnsi="Times New Roman" w:cs="Times New Roman"/>
          <w:sz w:val="24"/>
          <w:szCs w:val="24"/>
        </w:rPr>
        <w:t>roku bazowego</w:t>
      </w:r>
    </w:p>
    <w:p w:rsidR="004E771F" w:rsidRPr="00A52EF3" w:rsidRDefault="004E771F" w:rsidP="00F25FCA">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zwiększenie udziału zużycia odnawialnych</w:t>
      </w:r>
      <w:r w:rsidR="006B1762" w:rsidRPr="00A52EF3">
        <w:rPr>
          <w:rFonts w:ascii="Times New Roman" w:hAnsi="Times New Roman" w:cs="Times New Roman"/>
          <w:sz w:val="24"/>
          <w:szCs w:val="24"/>
        </w:rPr>
        <w:t xml:space="preserve"> źródeł energii o ok. 511,52 MWh</w:t>
      </w:r>
      <w:r w:rsidR="00D66BA9" w:rsidRPr="00A52EF3">
        <w:rPr>
          <w:rFonts w:ascii="Times New Roman" w:hAnsi="Times New Roman" w:cs="Times New Roman"/>
          <w:sz w:val="24"/>
          <w:szCs w:val="24"/>
        </w:rPr>
        <w:t xml:space="preserve">, </w:t>
      </w:r>
      <w:r w:rsidR="006B1762" w:rsidRPr="00A52EF3">
        <w:rPr>
          <w:rFonts w:ascii="Times New Roman" w:hAnsi="Times New Roman" w:cs="Times New Roman"/>
          <w:sz w:val="24"/>
          <w:szCs w:val="24"/>
        </w:rPr>
        <w:br/>
      </w:r>
      <w:r w:rsidR="002F73A6" w:rsidRPr="00A52EF3">
        <w:rPr>
          <w:rFonts w:ascii="Times New Roman" w:hAnsi="Times New Roman" w:cs="Times New Roman"/>
          <w:sz w:val="24"/>
          <w:szCs w:val="24"/>
        </w:rPr>
        <w:t xml:space="preserve">tj. </w:t>
      </w:r>
      <w:r w:rsidR="003E77BC" w:rsidRPr="00A52EF3">
        <w:rPr>
          <w:rFonts w:ascii="Times New Roman" w:hAnsi="Times New Roman" w:cs="Times New Roman"/>
          <w:sz w:val="24"/>
          <w:szCs w:val="24"/>
        </w:rPr>
        <w:t xml:space="preserve">3,37 punktów procentowych </w:t>
      </w:r>
    </w:p>
    <w:p w:rsidR="004E771F" w:rsidRPr="00A52EF3" w:rsidRDefault="004E771F" w:rsidP="00F25FCA">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redukcję zużycia en</w:t>
      </w:r>
      <w:r w:rsidR="006B1762" w:rsidRPr="00A52EF3">
        <w:rPr>
          <w:rFonts w:ascii="Times New Roman" w:hAnsi="Times New Roman" w:cs="Times New Roman"/>
          <w:sz w:val="24"/>
          <w:szCs w:val="24"/>
        </w:rPr>
        <w:t>ergii pierwotnej o ok. 8446,1 MWh</w:t>
      </w:r>
      <w:r w:rsidR="0010282B" w:rsidRPr="00A52EF3">
        <w:rPr>
          <w:rFonts w:ascii="Times New Roman" w:eastAsia="Times New Roman" w:hAnsi="Times New Roman" w:cs="Times New Roman"/>
          <w:sz w:val="24"/>
          <w:szCs w:val="24"/>
        </w:rPr>
        <w:t>,</w:t>
      </w:r>
      <w:r w:rsidR="002F73A6" w:rsidRPr="00A52EF3">
        <w:rPr>
          <w:rFonts w:ascii="Times New Roman" w:eastAsia="Times New Roman" w:hAnsi="Times New Roman" w:cs="Times New Roman"/>
          <w:sz w:val="24"/>
          <w:szCs w:val="24"/>
        </w:rPr>
        <w:t xml:space="preserve"> czyli </w:t>
      </w:r>
      <w:r w:rsidR="0010282B" w:rsidRPr="00A52EF3">
        <w:rPr>
          <w:rFonts w:ascii="Times New Roman" w:eastAsia="Times New Roman" w:hAnsi="Times New Roman" w:cs="Times New Roman"/>
          <w:sz w:val="24"/>
          <w:szCs w:val="24"/>
        </w:rPr>
        <w:t>5,72%</w:t>
      </w:r>
      <w:r w:rsidR="002F73A6" w:rsidRPr="00A52EF3">
        <w:rPr>
          <w:rFonts w:ascii="Times New Roman" w:eastAsia="Times New Roman" w:hAnsi="Times New Roman" w:cs="Times New Roman"/>
          <w:sz w:val="24"/>
          <w:szCs w:val="24"/>
        </w:rPr>
        <w:t xml:space="preserve"> </w:t>
      </w:r>
      <w:r w:rsidR="00E67F9A" w:rsidRPr="00A52EF3">
        <w:rPr>
          <w:rFonts w:ascii="Times New Roman" w:eastAsia="Times New Roman" w:hAnsi="Times New Roman" w:cs="Times New Roman"/>
          <w:sz w:val="24"/>
          <w:szCs w:val="24"/>
        </w:rPr>
        <w:t>zużycia w roku bazowym</w:t>
      </w:r>
    </w:p>
    <w:p w:rsidR="007C7474" w:rsidRPr="00A52EF3" w:rsidRDefault="007C7474" w:rsidP="00F25FCA">
      <w:pPr>
        <w:spacing w:line="360" w:lineRule="auto"/>
        <w:rPr>
          <w:rFonts w:ascii="Times New Roman" w:hAnsi="Times New Roman" w:cs="Times New Roman"/>
        </w:rPr>
      </w:pPr>
    </w:p>
    <w:p w:rsidR="007C7474" w:rsidRPr="00A52EF3" w:rsidRDefault="007C7474" w:rsidP="00A54FB2">
      <w:pPr>
        <w:pStyle w:val="Nagwek1"/>
        <w:numPr>
          <w:ilvl w:val="0"/>
          <w:numId w:val="86"/>
        </w:numPr>
        <w:rPr>
          <w:rFonts w:ascii="Times New Roman" w:hAnsi="Times New Roman" w:cs="Times New Roman"/>
          <w:color w:val="auto"/>
        </w:rPr>
      </w:pPr>
      <w:bookmarkStart w:id="2" w:name="_Toc470763979"/>
      <w:r w:rsidRPr="00A52EF3">
        <w:rPr>
          <w:rFonts w:ascii="Times New Roman" w:hAnsi="Times New Roman" w:cs="Times New Roman"/>
          <w:color w:val="auto"/>
        </w:rPr>
        <w:lastRenderedPageBreak/>
        <w:t>Wstęp</w:t>
      </w:r>
      <w:bookmarkEnd w:id="2"/>
    </w:p>
    <w:p w:rsidR="007C7474" w:rsidRPr="00A52EF3" w:rsidRDefault="007C7474" w:rsidP="00F61B30">
      <w:pPr>
        <w:pStyle w:val="Nagwek2"/>
        <w:numPr>
          <w:ilvl w:val="1"/>
          <w:numId w:val="86"/>
        </w:numPr>
        <w:rPr>
          <w:rFonts w:ascii="Times New Roman" w:hAnsi="Times New Roman" w:cs="Times New Roman"/>
          <w:color w:val="auto"/>
        </w:rPr>
      </w:pPr>
      <w:bookmarkStart w:id="3" w:name="_Toc470763980"/>
      <w:r w:rsidRPr="00A52EF3">
        <w:rPr>
          <w:rFonts w:ascii="Times New Roman" w:hAnsi="Times New Roman" w:cs="Times New Roman"/>
          <w:color w:val="auto"/>
        </w:rPr>
        <w:t>Cel opracowania i podstawy formalne</w:t>
      </w:r>
      <w:bookmarkEnd w:id="3"/>
    </w:p>
    <w:p w:rsidR="007C7474" w:rsidRPr="00A52EF3" w:rsidRDefault="007C747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Plan gospodarki niskoemisyjnej jest elementem realizacji założeń do Narodowego Programu Rozwoju Gospodarki Niskoemisyjnej (NPRGN). </w:t>
      </w:r>
    </w:p>
    <w:p w:rsidR="00715132" w:rsidRPr="00A52EF3" w:rsidRDefault="007C747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Celem głównym NPRGN jest </w:t>
      </w:r>
      <w:r w:rsidRPr="00A52EF3">
        <w:rPr>
          <w:rFonts w:ascii="Times New Roman" w:hAnsi="Times New Roman" w:cs="Times New Roman"/>
          <w:bCs/>
          <w:sz w:val="24"/>
        </w:rPr>
        <w:t>rozwój gospodarki niskoemisyjnej przy zapewnieniu zrównoważonego rozwoju kraju</w:t>
      </w:r>
      <w:r w:rsidR="00314327" w:rsidRPr="00A52EF3">
        <w:rPr>
          <w:rFonts w:ascii="Times New Roman" w:hAnsi="Times New Roman" w:cs="Times New Roman"/>
          <w:sz w:val="24"/>
        </w:rPr>
        <w:t>.</w:t>
      </w:r>
    </w:p>
    <w:p w:rsidR="007C7474" w:rsidRPr="00A52EF3" w:rsidRDefault="007C7474" w:rsidP="00F25FCA">
      <w:pPr>
        <w:spacing w:line="360" w:lineRule="auto"/>
        <w:jc w:val="both"/>
        <w:rPr>
          <w:rFonts w:ascii="Times New Roman" w:hAnsi="Times New Roman" w:cs="Times New Roman"/>
          <w:sz w:val="24"/>
        </w:rPr>
      </w:pPr>
      <w:r w:rsidRPr="00A52EF3">
        <w:rPr>
          <w:rFonts w:ascii="Times New Roman" w:hAnsi="Times New Roman" w:cs="Times New Roman"/>
          <w:sz w:val="24"/>
        </w:rPr>
        <w:t>Celami szczegółowymi NPRGN są:</w:t>
      </w:r>
    </w:p>
    <w:p w:rsidR="007C7474" w:rsidRPr="00A52EF3" w:rsidRDefault="007C7474" w:rsidP="00F25FCA">
      <w:pPr>
        <w:pStyle w:val="Akapitzlist"/>
        <w:numPr>
          <w:ilvl w:val="0"/>
          <w:numId w:val="3"/>
        </w:numPr>
        <w:spacing w:line="360" w:lineRule="auto"/>
        <w:jc w:val="both"/>
        <w:rPr>
          <w:rFonts w:ascii="Times New Roman" w:hAnsi="Times New Roman" w:cs="Times New Roman"/>
          <w:sz w:val="24"/>
        </w:rPr>
      </w:pPr>
      <w:r w:rsidRPr="00A52EF3">
        <w:rPr>
          <w:rFonts w:ascii="Times New Roman" w:hAnsi="Times New Roman" w:cs="Times New Roman"/>
          <w:sz w:val="24"/>
        </w:rPr>
        <w:t>niskoemisyjne wytwarzanie energii;</w:t>
      </w:r>
    </w:p>
    <w:p w:rsidR="007C7474" w:rsidRPr="00A52EF3" w:rsidRDefault="007C7474" w:rsidP="00F25FCA">
      <w:pPr>
        <w:pStyle w:val="Akapitzlist"/>
        <w:numPr>
          <w:ilvl w:val="0"/>
          <w:numId w:val="3"/>
        </w:numPr>
        <w:spacing w:line="360" w:lineRule="auto"/>
        <w:jc w:val="both"/>
        <w:rPr>
          <w:rFonts w:ascii="Times New Roman" w:hAnsi="Times New Roman" w:cs="Times New Roman"/>
          <w:sz w:val="24"/>
        </w:rPr>
      </w:pPr>
      <w:r w:rsidRPr="00A52EF3">
        <w:rPr>
          <w:rFonts w:ascii="Times New Roman" w:hAnsi="Times New Roman" w:cs="Times New Roman"/>
          <w:sz w:val="24"/>
        </w:rPr>
        <w:t>poprawa efektywności gospodarowania surowcami i materiałami, w tym odpadami;</w:t>
      </w:r>
    </w:p>
    <w:p w:rsidR="007C7474" w:rsidRPr="00A52EF3" w:rsidRDefault="007C7474" w:rsidP="00F25FCA">
      <w:pPr>
        <w:pStyle w:val="Akapitzlist"/>
        <w:numPr>
          <w:ilvl w:val="0"/>
          <w:numId w:val="3"/>
        </w:numPr>
        <w:spacing w:line="360" w:lineRule="auto"/>
        <w:jc w:val="both"/>
        <w:rPr>
          <w:rFonts w:ascii="Times New Roman" w:hAnsi="Times New Roman" w:cs="Times New Roman"/>
          <w:sz w:val="24"/>
        </w:rPr>
      </w:pPr>
      <w:r w:rsidRPr="00A52EF3">
        <w:rPr>
          <w:rFonts w:ascii="Times New Roman" w:hAnsi="Times New Roman" w:cs="Times New Roman"/>
          <w:sz w:val="24"/>
        </w:rPr>
        <w:t>rozwój zrównoważonej produkcji - obejmujący przemysł, budownictwo</w:t>
      </w:r>
      <w:r w:rsidRPr="00A52EF3">
        <w:rPr>
          <w:rFonts w:ascii="Times New Roman" w:hAnsi="Times New Roman" w:cs="Times New Roman"/>
          <w:sz w:val="24"/>
        </w:rPr>
        <w:br/>
        <w:t>i rolnictwo;</w:t>
      </w:r>
    </w:p>
    <w:p w:rsidR="007C7474" w:rsidRPr="00A52EF3" w:rsidRDefault="007C7474" w:rsidP="00F25FCA">
      <w:pPr>
        <w:pStyle w:val="Akapitzlist"/>
        <w:numPr>
          <w:ilvl w:val="0"/>
          <w:numId w:val="3"/>
        </w:numPr>
        <w:spacing w:line="360" w:lineRule="auto"/>
        <w:jc w:val="both"/>
        <w:rPr>
          <w:rFonts w:ascii="Times New Roman" w:hAnsi="Times New Roman" w:cs="Times New Roman"/>
          <w:sz w:val="24"/>
        </w:rPr>
      </w:pPr>
      <w:r w:rsidRPr="00A52EF3">
        <w:rPr>
          <w:rFonts w:ascii="Times New Roman" w:hAnsi="Times New Roman" w:cs="Times New Roman"/>
          <w:sz w:val="24"/>
        </w:rPr>
        <w:t>transformacja niskoemisyjna w dystrybucji i mobilności;</w:t>
      </w:r>
    </w:p>
    <w:p w:rsidR="007C7474" w:rsidRPr="00A52EF3" w:rsidRDefault="007C7474" w:rsidP="00F25FCA">
      <w:pPr>
        <w:pStyle w:val="Akapitzlist"/>
        <w:numPr>
          <w:ilvl w:val="0"/>
          <w:numId w:val="3"/>
        </w:numPr>
        <w:spacing w:line="360" w:lineRule="auto"/>
        <w:jc w:val="both"/>
        <w:rPr>
          <w:rFonts w:ascii="Times New Roman" w:hAnsi="Times New Roman" w:cs="Times New Roman"/>
          <w:sz w:val="24"/>
        </w:rPr>
      </w:pPr>
      <w:r w:rsidRPr="00A52EF3">
        <w:rPr>
          <w:rFonts w:ascii="Times New Roman" w:hAnsi="Times New Roman" w:cs="Times New Roman"/>
          <w:sz w:val="24"/>
        </w:rPr>
        <w:t>promocja wzorców zrównoważonej konsumpcji.</w:t>
      </w:r>
    </w:p>
    <w:p w:rsidR="007C7474" w:rsidRPr="00A52EF3" w:rsidRDefault="007C747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Plan Gospodarki Niskoemisyjnej to dokument strategiczny, który ma </w:t>
      </w:r>
      <w:r w:rsidRPr="00A52EF3">
        <w:rPr>
          <w:rFonts w:ascii="Times New Roman" w:hAnsi="Times New Roman" w:cs="Times New Roman"/>
          <w:bCs/>
          <w:sz w:val="24"/>
        </w:rPr>
        <w:t>przyczynić się do osiągnięcia celów określonych w pakiecie klimatyczno-energetycznym do roku 2020, tj.</w:t>
      </w:r>
      <w:r w:rsidRPr="00A52EF3">
        <w:rPr>
          <w:rFonts w:ascii="Times New Roman" w:hAnsi="Times New Roman" w:cs="Times New Roman"/>
          <w:sz w:val="24"/>
        </w:rPr>
        <w:t xml:space="preserve"> redukcji emisji gazów cieplarnianych, zwiększenia udziału energii pochodzącej z źródeł odnawialnych, redukcji zużycia energii finalnej, co ma zostać zrealizowane poprzez podniesienie efektywności energetycznej, a także do poprawy jakości powietrza na obszarach, na których odnotowano przekroczenia jakości poziomów dopuszczalnych stężeń w powietrzu i realizowane są programy (naprawcze) ochrony powietrza (POP) oraz plany działań krótkoterminowych (PDK).</w:t>
      </w:r>
    </w:p>
    <w:p w:rsidR="007C7474" w:rsidRPr="00A52EF3" w:rsidRDefault="007C747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Realizacja wyżej wymienionych celów wymagać będzie podjęcia szeregu działań sprzyjających ograniczeniu emisji gazów cieplarnianych i zanieczyszczeń, ale również tych które wpływają na redukcję w sposób pośredni sprzyjając zmniejszeniu zużyciu paliw </w:t>
      </w:r>
      <w:r w:rsidRPr="00A52EF3">
        <w:rPr>
          <w:rFonts w:ascii="Times New Roman" w:hAnsi="Times New Roman" w:cs="Times New Roman"/>
          <w:sz w:val="24"/>
        </w:rPr>
        <w:br/>
        <w:t xml:space="preserve">i energii. </w:t>
      </w:r>
    </w:p>
    <w:p w:rsidR="004A4AE0" w:rsidRPr="00A52EF3" w:rsidRDefault="004A4AE0" w:rsidP="00F25FCA">
      <w:pPr>
        <w:spacing w:line="360" w:lineRule="auto"/>
        <w:ind w:firstLine="708"/>
        <w:jc w:val="both"/>
        <w:rPr>
          <w:rFonts w:ascii="Times New Roman" w:hAnsi="Times New Roman" w:cs="Times New Roman"/>
          <w:sz w:val="24"/>
        </w:rPr>
      </w:pPr>
    </w:p>
    <w:p w:rsidR="007C7474" w:rsidRPr="00A52EF3" w:rsidRDefault="007C747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lastRenderedPageBreak/>
        <w:t xml:space="preserve">Dodatkowymi korzyściami wynikającymi ze sporządzenia Planu Gospodarki Niskoemisyjnej są oszczędności dla budżetu gminy wynikające z optymalizacji zużycia energii, ułatwienie i zwiększenie szans w ubieganiu się o dotacje na inwestycje </w:t>
      </w:r>
      <w:r w:rsidRPr="00A52EF3">
        <w:rPr>
          <w:rFonts w:ascii="Times New Roman" w:hAnsi="Times New Roman" w:cs="Times New Roman"/>
          <w:sz w:val="24"/>
        </w:rPr>
        <w:br/>
        <w:t xml:space="preserve">w ramach Regionalnego Programu Operacyjnego Województwa </w:t>
      </w:r>
      <w:r w:rsidR="00BF0FEB" w:rsidRPr="00A52EF3">
        <w:rPr>
          <w:rFonts w:ascii="Times New Roman" w:hAnsi="Times New Roman" w:cs="Times New Roman"/>
          <w:sz w:val="24"/>
        </w:rPr>
        <w:t>Świętokrzyskiego</w:t>
      </w:r>
      <w:r w:rsidRPr="00A52EF3">
        <w:rPr>
          <w:rFonts w:ascii="Times New Roman" w:hAnsi="Times New Roman" w:cs="Times New Roman"/>
          <w:sz w:val="24"/>
        </w:rPr>
        <w:t xml:space="preserve"> </w:t>
      </w:r>
      <w:r w:rsidR="00BF0FEB" w:rsidRPr="00A52EF3">
        <w:rPr>
          <w:rFonts w:ascii="Times New Roman" w:hAnsi="Times New Roman" w:cs="Times New Roman"/>
          <w:sz w:val="24"/>
        </w:rPr>
        <w:br/>
      </w:r>
      <w:r w:rsidRPr="00A52EF3">
        <w:rPr>
          <w:rFonts w:ascii="Times New Roman" w:hAnsi="Times New Roman" w:cs="Times New Roman"/>
          <w:sz w:val="24"/>
        </w:rPr>
        <w:t>w perspektywie finansowej 2014-2020, pozytywny efekt wizerunkowy, jako gminy odpowiedzialnej, realizującej prośrodowiskową i rozwojową politykę z</w:t>
      </w:r>
      <w:r w:rsidR="00BF0FEB" w:rsidRPr="00A52EF3">
        <w:rPr>
          <w:rFonts w:ascii="Times New Roman" w:hAnsi="Times New Roman" w:cs="Times New Roman"/>
          <w:sz w:val="24"/>
        </w:rPr>
        <w:t xml:space="preserve"> myślą o lokalnej społeczności </w:t>
      </w:r>
      <w:r w:rsidRPr="00A52EF3">
        <w:rPr>
          <w:rFonts w:ascii="Times New Roman" w:hAnsi="Times New Roman" w:cs="Times New Roman"/>
          <w:sz w:val="24"/>
        </w:rPr>
        <w:t>w długoterminowej perspektywie.</w:t>
      </w:r>
    </w:p>
    <w:p w:rsidR="00715132" w:rsidRPr="00A52EF3" w:rsidRDefault="00715132" w:rsidP="00F25FCA">
      <w:pPr>
        <w:spacing w:line="360" w:lineRule="auto"/>
        <w:ind w:firstLine="708"/>
        <w:jc w:val="both"/>
        <w:rPr>
          <w:rFonts w:ascii="Times New Roman" w:hAnsi="Times New Roman" w:cs="Times New Roman"/>
          <w:sz w:val="24"/>
        </w:rPr>
      </w:pPr>
    </w:p>
    <w:p w:rsidR="00715132" w:rsidRPr="00A52EF3" w:rsidRDefault="00715132" w:rsidP="00F61B30">
      <w:pPr>
        <w:pStyle w:val="Nagwek2"/>
        <w:numPr>
          <w:ilvl w:val="1"/>
          <w:numId w:val="86"/>
        </w:numPr>
        <w:rPr>
          <w:rFonts w:ascii="Times New Roman" w:hAnsi="Times New Roman" w:cs="Times New Roman"/>
          <w:color w:val="auto"/>
        </w:rPr>
      </w:pPr>
      <w:bookmarkStart w:id="4" w:name="_Toc470763981"/>
      <w:r w:rsidRPr="00A52EF3">
        <w:rPr>
          <w:rFonts w:ascii="Times New Roman" w:hAnsi="Times New Roman" w:cs="Times New Roman"/>
          <w:color w:val="auto"/>
        </w:rPr>
        <w:t>Zakres opracowania</w:t>
      </w:r>
      <w:bookmarkEnd w:id="4"/>
    </w:p>
    <w:p w:rsidR="00715132" w:rsidRPr="00A52EF3" w:rsidRDefault="00715132"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Plan Gospodarki Niskoemisyjnej dla Gminy Brody został opracowany zgodnie ze „Szczegółowymi zaleceniami dotyczącymi struktury planu gospodarki niskoemisyjnej” udostępnionymi przez Narodowy Fundusz Ochrony Środowiska i Gospodarki Wodnej. Podczas opracowywania Planu uwzględniono również zalecenia zawarte w „Poradniku jak opracować plan działań na rzecz zrównoważonej energii (SEAP)”. </w:t>
      </w:r>
    </w:p>
    <w:p w:rsidR="00715132" w:rsidRPr="00A52EF3" w:rsidRDefault="00715132"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Na podstawie wytycznych rekomendowana struktura Planu Gospodarki Niskoemisyjnej powinna wyglądać następująco: </w:t>
      </w:r>
    </w:p>
    <w:p w:rsidR="00715132" w:rsidRPr="00A52EF3" w:rsidRDefault="00715132" w:rsidP="00F25FCA">
      <w:pPr>
        <w:spacing w:line="360" w:lineRule="auto"/>
        <w:jc w:val="both"/>
        <w:rPr>
          <w:rFonts w:ascii="Times New Roman" w:hAnsi="Times New Roman" w:cs="Times New Roman"/>
          <w:sz w:val="24"/>
        </w:rPr>
      </w:pPr>
      <w:r w:rsidRPr="00A52EF3">
        <w:rPr>
          <w:rFonts w:ascii="Times New Roman" w:hAnsi="Times New Roman" w:cs="Times New Roman"/>
          <w:sz w:val="24"/>
        </w:rPr>
        <w:t xml:space="preserve">1. Streszczenie </w:t>
      </w:r>
    </w:p>
    <w:p w:rsidR="00715132" w:rsidRPr="00A52EF3" w:rsidRDefault="00715132" w:rsidP="00F25FCA">
      <w:pPr>
        <w:spacing w:line="360" w:lineRule="auto"/>
        <w:jc w:val="both"/>
        <w:rPr>
          <w:rFonts w:ascii="Times New Roman" w:hAnsi="Times New Roman" w:cs="Times New Roman"/>
          <w:sz w:val="24"/>
        </w:rPr>
      </w:pPr>
      <w:r w:rsidRPr="00A52EF3">
        <w:rPr>
          <w:rFonts w:ascii="Times New Roman" w:hAnsi="Times New Roman" w:cs="Times New Roman"/>
          <w:sz w:val="24"/>
        </w:rPr>
        <w:t xml:space="preserve">2. Ogólna strategia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Cele strategiczne i szczegółowe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Stan obecny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Identyfikacja obszarów problemowych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Aspekty organizacyjne i finansowe (struktury organizacyjne, zasoby ludzkie, zaangażowane strony, budżet, źródła finansowania inwestycji, środki finansowe na monitoring i ocenę) </w:t>
      </w:r>
    </w:p>
    <w:p w:rsidR="008F14EE" w:rsidRPr="00A52EF3" w:rsidRDefault="00715132" w:rsidP="004A4AE0">
      <w:pPr>
        <w:pStyle w:val="Akapitzlist"/>
        <w:numPr>
          <w:ilvl w:val="0"/>
          <w:numId w:val="86"/>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Wyniki bazowej inwentaryzacji emisji dwutlenku węgla </w:t>
      </w:r>
    </w:p>
    <w:p w:rsidR="004A4AE0" w:rsidRPr="00A52EF3" w:rsidRDefault="004A4AE0" w:rsidP="004A4AE0">
      <w:pPr>
        <w:spacing w:line="360" w:lineRule="auto"/>
        <w:jc w:val="both"/>
        <w:rPr>
          <w:rFonts w:ascii="Times New Roman" w:hAnsi="Times New Roman" w:cs="Times New Roman"/>
          <w:sz w:val="24"/>
        </w:rPr>
      </w:pPr>
    </w:p>
    <w:p w:rsidR="004A4AE0" w:rsidRPr="00A52EF3" w:rsidRDefault="004A4AE0" w:rsidP="004A4AE0">
      <w:pPr>
        <w:spacing w:line="360" w:lineRule="auto"/>
        <w:jc w:val="both"/>
        <w:rPr>
          <w:rFonts w:ascii="Times New Roman" w:hAnsi="Times New Roman" w:cs="Times New Roman"/>
          <w:sz w:val="24"/>
        </w:rPr>
      </w:pPr>
    </w:p>
    <w:p w:rsidR="00715132" w:rsidRPr="00A52EF3" w:rsidRDefault="00715132" w:rsidP="00F25FCA">
      <w:pPr>
        <w:spacing w:line="360" w:lineRule="auto"/>
        <w:jc w:val="both"/>
        <w:rPr>
          <w:rFonts w:ascii="Times New Roman" w:hAnsi="Times New Roman" w:cs="Times New Roman"/>
          <w:sz w:val="24"/>
        </w:rPr>
      </w:pPr>
      <w:r w:rsidRPr="00A52EF3">
        <w:rPr>
          <w:rFonts w:ascii="Times New Roman" w:hAnsi="Times New Roman" w:cs="Times New Roman"/>
          <w:sz w:val="24"/>
        </w:rPr>
        <w:lastRenderedPageBreak/>
        <w:t xml:space="preserve">4. Działania/zadania i środki zaplanowane na cały okres objęty planem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Długoterminowa strategia, cele i zobowiązania </w:t>
      </w:r>
    </w:p>
    <w:p w:rsidR="00715132" w:rsidRPr="00A52EF3" w:rsidRDefault="00715132" w:rsidP="00F25FCA">
      <w:pPr>
        <w:pStyle w:val="Akapitzlist"/>
        <w:numPr>
          <w:ilvl w:val="0"/>
          <w:numId w:val="4"/>
        </w:numPr>
        <w:spacing w:line="360" w:lineRule="auto"/>
        <w:jc w:val="both"/>
        <w:rPr>
          <w:rFonts w:ascii="Times New Roman" w:hAnsi="Times New Roman" w:cs="Times New Roman"/>
          <w:sz w:val="24"/>
        </w:rPr>
      </w:pPr>
      <w:r w:rsidRPr="00A52EF3">
        <w:rPr>
          <w:rFonts w:ascii="Times New Roman" w:hAnsi="Times New Roman" w:cs="Times New Roman"/>
          <w:sz w:val="24"/>
        </w:rPr>
        <w:t>Krótko/średnioterminowe działania/zadania (opis, podmioty odpowiedzialne za realizację, harmonogram, koszty, wskaźniki).</w:t>
      </w:r>
    </w:p>
    <w:p w:rsidR="00715132" w:rsidRPr="00A52EF3" w:rsidRDefault="00715132" w:rsidP="00F61B30">
      <w:pPr>
        <w:pStyle w:val="Nagwek2"/>
        <w:numPr>
          <w:ilvl w:val="1"/>
          <w:numId w:val="86"/>
        </w:numPr>
        <w:spacing w:after="240" w:line="360" w:lineRule="auto"/>
        <w:rPr>
          <w:rFonts w:ascii="Times New Roman" w:hAnsi="Times New Roman" w:cs="Times New Roman"/>
          <w:color w:val="auto"/>
        </w:rPr>
      </w:pPr>
      <w:bookmarkStart w:id="5" w:name="_Toc470763982"/>
      <w:r w:rsidRPr="00A52EF3">
        <w:rPr>
          <w:rFonts w:ascii="Times New Roman" w:hAnsi="Times New Roman" w:cs="Times New Roman"/>
          <w:color w:val="auto"/>
        </w:rPr>
        <w:t>Przepisy prawa i dokumenty strategiczne</w:t>
      </w:r>
      <w:bookmarkEnd w:id="5"/>
    </w:p>
    <w:p w:rsidR="00715132" w:rsidRPr="00A52EF3" w:rsidRDefault="00715132" w:rsidP="00F25FCA">
      <w:pPr>
        <w:spacing w:line="360" w:lineRule="auto"/>
        <w:ind w:firstLine="720"/>
        <w:jc w:val="both"/>
        <w:rPr>
          <w:rFonts w:ascii="Times New Roman" w:hAnsi="Times New Roman" w:cs="Times New Roman"/>
          <w:sz w:val="24"/>
        </w:rPr>
      </w:pPr>
      <w:r w:rsidRPr="00A52EF3">
        <w:rPr>
          <w:rFonts w:ascii="Times New Roman" w:hAnsi="Times New Roman" w:cs="Times New Roman"/>
          <w:sz w:val="24"/>
        </w:rPr>
        <w:t xml:space="preserve">Poniżej przedstawiono najważniejsze przepisy prawa oraz dokumenty strategiczne na poziomie międzynarodowym, krajowym i regionalnym, których zapisy przeanalizowano </w:t>
      </w:r>
      <w:r w:rsidRPr="00A52EF3">
        <w:rPr>
          <w:rFonts w:ascii="Times New Roman" w:hAnsi="Times New Roman" w:cs="Times New Roman"/>
          <w:sz w:val="24"/>
        </w:rPr>
        <w:br/>
        <w:t>z punktu widzenia realizacji niniejszego Planu Gospodarki Niskoemisyjnej dla Gminy Brody, dla zapewnienia spójności w zakresie formułowanych celów strategicznych, szczegółowych, jak również działań przyczyniających się do ich osiągnięcia.</w:t>
      </w:r>
    </w:p>
    <w:p w:rsidR="004A4AE0" w:rsidRPr="00A52EF3" w:rsidRDefault="004A4AE0" w:rsidP="00F25FCA">
      <w:pPr>
        <w:spacing w:line="360" w:lineRule="auto"/>
        <w:ind w:firstLine="720"/>
        <w:jc w:val="both"/>
        <w:rPr>
          <w:rFonts w:ascii="Times New Roman" w:hAnsi="Times New Roman" w:cs="Times New Roman"/>
          <w:sz w:val="24"/>
        </w:rPr>
      </w:pPr>
    </w:p>
    <w:p w:rsidR="00715132" w:rsidRPr="00A52EF3" w:rsidRDefault="00715132" w:rsidP="00F25FCA">
      <w:pPr>
        <w:spacing w:after="120" w:line="360" w:lineRule="auto"/>
        <w:jc w:val="both"/>
        <w:rPr>
          <w:rFonts w:ascii="Times New Roman" w:hAnsi="Times New Roman" w:cs="Times New Roman"/>
          <w:b/>
          <w:sz w:val="24"/>
        </w:rPr>
      </w:pPr>
      <w:r w:rsidRPr="00A52EF3">
        <w:rPr>
          <w:rFonts w:ascii="Times New Roman" w:hAnsi="Times New Roman" w:cs="Times New Roman"/>
          <w:b/>
          <w:sz w:val="24"/>
        </w:rPr>
        <w:t>Przepisy prawa:</w:t>
      </w:r>
    </w:p>
    <w:p w:rsidR="00715132" w:rsidRPr="00A52EF3" w:rsidRDefault="00715132" w:rsidP="00F25FCA">
      <w:pPr>
        <w:spacing w:after="120" w:line="360" w:lineRule="auto"/>
        <w:jc w:val="both"/>
        <w:rPr>
          <w:rFonts w:ascii="Times New Roman" w:hAnsi="Times New Roman" w:cs="Times New Roman"/>
          <w:b/>
          <w:sz w:val="24"/>
        </w:rPr>
      </w:pPr>
      <w:r w:rsidRPr="00A52EF3">
        <w:rPr>
          <w:rFonts w:ascii="Times New Roman" w:hAnsi="Times New Roman" w:cs="Times New Roman"/>
          <w:b/>
          <w:sz w:val="24"/>
        </w:rPr>
        <w:t>Unii Europejskiej:</w:t>
      </w:r>
    </w:p>
    <w:p w:rsidR="00715132" w:rsidRPr="00A52EF3" w:rsidRDefault="00715132" w:rsidP="00F25FCA">
      <w:pPr>
        <w:pStyle w:val="Akapitzlist"/>
        <w:numPr>
          <w:ilvl w:val="0"/>
          <w:numId w:val="7"/>
        </w:numPr>
        <w:autoSpaceDE w:val="0"/>
        <w:autoSpaceDN w:val="0"/>
        <w:adjustRightInd w:val="0"/>
        <w:spacing w:after="171"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Dyrektywa Parlamentu Europejskiego i Rady 2012/27/UE z dnia 25 października 2012 r. w sprawie efektywności energetycznej (Dziennik Urzędowy UE L315/1 14 listopada 2012 r.), </w:t>
      </w:r>
    </w:p>
    <w:p w:rsidR="00715132" w:rsidRPr="00A52EF3" w:rsidRDefault="00715132" w:rsidP="00F25FCA">
      <w:pPr>
        <w:pStyle w:val="Akapitzlist"/>
        <w:numPr>
          <w:ilvl w:val="0"/>
          <w:numId w:val="7"/>
        </w:numPr>
        <w:autoSpaceDE w:val="0"/>
        <w:autoSpaceDN w:val="0"/>
        <w:adjustRightInd w:val="0"/>
        <w:spacing w:after="171"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Dyrektywa Parlamentu Europejskiego i Rady 2009/28/WE z dnia 23 kwietnia 2009 r. w sprawie promowania stosowania energii ze źródeł odnawialnych (Dz. U. UE L 09.140.16), </w:t>
      </w:r>
    </w:p>
    <w:p w:rsidR="008F14EE" w:rsidRPr="00A52EF3" w:rsidRDefault="00715132" w:rsidP="008F14EE">
      <w:pPr>
        <w:pStyle w:val="Akapitzlist"/>
        <w:numPr>
          <w:ilvl w:val="0"/>
          <w:numId w:val="7"/>
        </w:numPr>
        <w:autoSpaceDE w:val="0"/>
        <w:autoSpaceDN w:val="0"/>
        <w:adjustRightInd w:val="0"/>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Decyzja Parlamentu Europejskiego i Rady Nr 2009/406/WE z dnia 23 kwietnia 2009r. w sprawie wysiłków podjętych przez państwa członkowskie, zmierzających do zmniejszenia emisji gazów cieplarnianych w celu realizacji do roku 2020 zobowiązań Wspólnoty dotyczących redukcji emisji gazów cieplarnianych. </w:t>
      </w:r>
    </w:p>
    <w:p w:rsidR="004A4AE0" w:rsidRPr="00A52EF3" w:rsidRDefault="004A4AE0" w:rsidP="00F25FCA">
      <w:pPr>
        <w:spacing w:before="240" w:after="120" w:line="360" w:lineRule="auto"/>
        <w:jc w:val="both"/>
        <w:rPr>
          <w:rFonts w:ascii="Times New Roman" w:hAnsi="Times New Roman" w:cs="Times New Roman"/>
          <w:b/>
          <w:sz w:val="24"/>
        </w:rPr>
      </w:pPr>
    </w:p>
    <w:p w:rsidR="004A4AE0" w:rsidRPr="00A52EF3" w:rsidRDefault="004A4AE0" w:rsidP="00F25FCA">
      <w:pPr>
        <w:spacing w:before="240" w:after="120" w:line="360" w:lineRule="auto"/>
        <w:jc w:val="both"/>
        <w:rPr>
          <w:rFonts w:ascii="Times New Roman" w:hAnsi="Times New Roman" w:cs="Times New Roman"/>
          <w:b/>
          <w:sz w:val="24"/>
        </w:rPr>
      </w:pPr>
    </w:p>
    <w:p w:rsidR="004A4AE0" w:rsidRPr="00A52EF3" w:rsidRDefault="004A4AE0" w:rsidP="00F25FCA">
      <w:pPr>
        <w:spacing w:before="240" w:after="120" w:line="360" w:lineRule="auto"/>
        <w:jc w:val="both"/>
        <w:rPr>
          <w:rFonts w:ascii="Times New Roman" w:hAnsi="Times New Roman" w:cs="Times New Roman"/>
          <w:b/>
          <w:sz w:val="24"/>
        </w:rPr>
      </w:pPr>
    </w:p>
    <w:p w:rsidR="00715132" w:rsidRPr="00A52EF3" w:rsidRDefault="00715132" w:rsidP="00F25FCA">
      <w:pPr>
        <w:spacing w:before="240" w:after="120" w:line="360" w:lineRule="auto"/>
        <w:jc w:val="both"/>
        <w:rPr>
          <w:rFonts w:ascii="Times New Roman" w:hAnsi="Times New Roman" w:cs="Times New Roman"/>
          <w:b/>
          <w:sz w:val="24"/>
        </w:rPr>
      </w:pPr>
      <w:r w:rsidRPr="00A52EF3">
        <w:rPr>
          <w:rFonts w:ascii="Times New Roman" w:hAnsi="Times New Roman" w:cs="Times New Roman"/>
          <w:b/>
          <w:sz w:val="24"/>
        </w:rPr>
        <w:lastRenderedPageBreak/>
        <w:t>Krajowe:</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Ustawa  z  dnia  27  kwietnia  2001  r.  Prawo</w:t>
      </w:r>
      <w:r w:rsidR="00590A74" w:rsidRPr="00A52EF3">
        <w:rPr>
          <w:rFonts w:ascii="Times New Roman" w:hAnsi="Times New Roman" w:cs="Times New Roman"/>
          <w:sz w:val="24"/>
        </w:rPr>
        <w:t xml:space="preserve">  ochrony  środowiska  (Dz.U.  </w:t>
      </w:r>
      <w:r w:rsidR="00590A74" w:rsidRPr="00A52EF3">
        <w:rPr>
          <w:rFonts w:ascii="Times New Roman" w:hAnsi="Times New Roman" w:cs="Times New Roman"/>
          <w:sz w:val="24"/>
        </w:rPr>
        <w:br/>
      </w:r>
      <w:r w:rsidRPr="00A52EF3">
        <w:rPr>
          <w:rFonts w:ascii="Times New Roman" w:hAnsi="Times New Roman" w:cs="Times New Roman"/>
          <w:sz w:val="24"/>
        </w:rPr>
        <w:t>z  2013  r.,  poz.1232 z późn. zm.),</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Ustawa  z  dnia  3  października  2008  r. </w:t>
      </w:r>
      <w:r w:rsidR="00590A74" w:rsidRPr="00A52EF3">
        <w:rPr>
          <w:rFonts w:ascii="Times New Roman" w:hAnsi="Times New Roman" w:cs="Times New Roman"/>
          <w:sz w:val="24"/>
        </w:rPr>
        <w:t xml:space="preserve"> o  udostępnieniu  informacji  </w:t>
      </w:r>
      <w:r w:rsidRPr="00A52EF3">
        <w:rPr>
          <w:rFonts w:ascii="Times New Roman" w:hAnsi="Times New Roman" w:cs="Times New Roman"/>
          <w:sz w:val="24"/>
        </w:rPr>
        <w:t xml:space="preserve">o  środowisku </w:t>
      </w:r>
      <w:r w:rsidR="00590A74" w:rsidRPr="00A52EF3">
        <w:rPr>
          <w:rFonts w:ascii="Times New Roman" w:hAnsi="Times New Roman" w:cs="Times New Roman"/>
          <w:sz w:val="24"/>
        </w:rPr>
        <w:br/>
      </w:r>
      <w:r w:rsidRPr="00A52EF3">
        <w:rPr>
          <w:rFonts w:ascii="Times New Roman" w:hAnsi="Times New Roman" w:cs="Times New Roman"/>
          <w:sz w:val="24"/>
        </w:rPr>
        <w:t>i jego ochronie, udziale społeczeńs</w:t>
      </w:r>
      <w:r w:rsidR="00590A74" w:rsidRPr="00A52EF3">
        <w:rPr>
          <w:rFonts w:ascii="Times New Roman" w:hAnsi="Times New Roman" w:cs="Times New Roman"/>
          <w:sz w:val="24"/>
        </w:rPr>
        <w:t xml:space="preserve">twa w ochronie środowiska oraz </w:t>
      </w:r>
      <w:r w:rsidRPr="00A52EF3">
        <w:rPr>
          <w:rFonts w:ascii="Times New Roman" w:hAnsi="Times New Roman" w:cs="Times New Roman"/>
          <w:sz w:val="24"/>
        </w:rPr>
        <w:t>o ocenach oddziaływania na środowisko (Dz. U. z 2013 r., poz. 1235 z późn. zm.),</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Ustawa  z  dnia  27  marca  2003  r.  o  p</w:t>
      </w:r>
      <w:r w:rsidR="00590A74" w:rsidRPr="00A52EF3">
        <w:rPr>
          <w:rFonts w:ascii="Times New Roman" w:hAnsi="Times New Roman" w:cs="Times New Roman"/>
          <w:sz w:val="24"/>
        </w:rPr>
        <w:t xml:space="preserve">lanowaniu  i  zagospodarowaniu </w:t>
      </w:r>
      <w:r w:rsidRPr="00A52EF3">
        <w:rPr>
          <w:rFonts w:ascii="Times New Roman" w:hAnsi="Times New Roman" w:cs="Times New Roman"/>
          <w:sz w:val="24"/>
          <w:szCs w:val="24"/>
        </w:rPr>
        <w:t>przestrzennym   Dz. U. z 2015 r. poz. 199, 443, 774, 1265, 1434, 1713, 1777, 1830, 1890</w:t>
      </w:r>
      <w:r w:rsidRPr="00A52EF3">
        <w:rPr>
          <w:rFonts w:ascii="Times New Roman" w:hAnsi="Times New Roman" w:cs="Times New Roman"/>
        </w:rPr>
        <w:t>.)</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Ustawa  z  dnia  10  kwietnia  1997  -  Prawo  energetyczne  (Dz.U.  2012,  poz.  1059, z  późn.  zm.)  oraz  rozporządzeniami  do  Ustawy  aktualnymi  na  dzień  podpisania  umowy i podczas jej trwania,</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Ustawa z dnia 7 lipca 1994 r. Prawo budowlane (Dz. U. z 2013 r. poz. 1409 z późn. zm.),</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Ustawa  z  dnia  15  kwietnia  2011  r.  o  efektywności  energetycznej  (Dz.U.  </w:t>
      </w:r>
      <w:r w:rsidRPr="00A52EF3">
        <w:rPr>
          <w:rFonts w:ascii="Times New Roman" w:hAnsi="Times New Roman" w:cs="Times New Roman"/>
          <w:sz w:val="24"/>
        </w:rPr>
        <w:br/>
        <w:t>z  2011  r. Nr 94, poz. 551 z późn. zm.),</w:t>
      </w:r>
    </w:p>
    <w:p w:rsidR="00715132" w:rsidRPr="00A52EF3" w:rsidRDefault="00715132" w:rsidP="00F25FCA">
      <w:pPr>
        <w:pStyle w:val="Akapitzlist"/>
        <w:numPr>
          <w:ilvl w:val="0"/>
          <w:numId w:val="5"/>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Ustawa  z  dnia  21  listopada  2008  r.  o  </w:t>
      </w:r>
      <w:r w:rsidR="00590A74" w:rsidRPr="00A52EF3">
        <w:rPr>
          <w:rFonts w:ascii="Times New Roman" w:hAnsi="Times New Roman" w:cs="Times New Roman"/>
          <w:sz w:val="24"/>
        </w:rPr>
        <w:t xml:space="preserve">wspieraniu  termomodernizacji  </w:t>
      </w:r>
      <w:r w:rsidRPr="00A52EF3">
        <w:rPr>
          <w:rFonts w:ascii="Times New Roman" w:hAnsi="Times New Roman" w:cs="Times New Roman"/>
          <w:sz w:val="24"/>
        </w:rPr>
        <w:t>i  remontów (Dz. U. z 2008 r., Nr 223 poz. 1459 z późn. zm.),</w:t>
      </w:r>
    </w:p>
    <w:p w:rsidR="00715132" w:rsidRPr="00A52EF3" w:rsidRDefault="00715132" w:rsidP="00F25FCA">
      <w:pPr>
        <w:pStyle w:val="Akapitzlist"/>
        <w:numPr>
          <w:ilvl w:val="0"/>
          <w:numId w:val="5"/>
        </w:numPr>
        <w:spacing w:after="0" w:line="360" w:lineRule="auto"/>
        <w:ind w:left="714" w:hanging="357"/>
        <w:jc w:val="both"/>
        <w:rPr>
          <w:rFonts w:ascii="Times New Roman" w:hAnsi="Times New Roman" w:cs="Times New Roman"/>
          <w:sz w:val="24"/>
        </w:rPr>
      </w:pPr>
      <w:r w:rsidRPr="00A52EF3">
        <w:rPr>
          <w:rFonts w:ascii="Times New Roman" w:hAnsi="Times New Roman" w:cs="Times New Roman"/>
          <w:sz w:val="24"/>
        </w:rPr>
        <w:t xml:space="preserve">Ustawa z dnia 14 września 2012 r. o obowiązkach w zakresie informowania </w:t>
      </w:r>
      <w:r w:rsidRPr="00A52EF3">
        <w:rPr>
          <w:rFonts w:ascii="Times New Roman" w:hAnsi="Times New Roman" w:cs="Times New Roman"/>
          <w:sz w:val="24"/>
        </w:rPr>
        <w:br/>
        <w:t>o zużyciu energii przez produkty wykorzystujące energię (Dz. U. z 2012 r. poz. 1203),</w:t>
      </w:r>
    </w:p>
    <w:p w:rsidR="00715132" w:rsidRPr="00A52EF3" w:rsidRDefault="00715132" w:rsidP="00F25FCA">
      <w:pPr>
        <w:pStyle w:val="Akapitzlist"/>
        <w:numPr>
          <w:ilvl w:val="0"/>
          <w:numId w:val="5"/>
        </w:numPr>
        <w:spacing w:after="0" w:line="360" w:lineRule="auto"/>
        <w:ind w:left="714" w:hanging="357"/>
        <w:jc w:val="both"/>
        <w:rPr>
          <w:rFonts w:ascii="Times New Roman" w:hAnsi="Times New Roman" w:cs="Times New Roman"/>
          <w:sz w:val="24"/>
          <w:szCs w:val="24"/>
        </w:rPr>
      </w:pPr>
      <w:r w:rsidRPr="00A52EF3">
        <w:rPr>
          <w:rFonts w:ascii="Times New Roman" w:hAnsi="Times New Roman" w:cs="Times New Roman"/>
          <w:sz w:val="24"/>
          <w:szCs w:val="24"/>
        </w:rPr>
        <w:t>Ustawa  z  dnia  8  marca  1990r.  o  samorządzie  gminnym  (Dz. U. z 2015 r. poz. 1515, 1890.)</w:t>
      </w:r>
    </w:p>
    <w:p w:rsidR="008F14EE" w:rsidRPr="00A52EF3" w:rsidRDefault="00715132" w:rsidP="008F14EE">
      <w:pPr>
        <w:pStyle w:val="Akapitzlist"/>
        <w:numPr>
          <w:ilvl w:val="0"/>
          <w:numId w:val="5"/>
        </w:numPr>
        <w:autoSpaceDE w:val="0"/>
        <w:autoSpaceDN w:val="0"/>
        <w:adjustRightInd w:val="0"/>
        <w:spacing w:after="0" w:line="360" w:lineRule="auto"/>
        <w:ind w:left="714" w:hanging="357"/>
        <w:jc w:val="both"/>
        <w:rPr>
          <w:rFonts w:ascii="Times New Roman" w:hAnsi="Times New Roman" w:cs="Times New Roman"/>
          <w:sz w:val="24"/>
          <w:szCs w:val="24"/>
        </w:rPr>
      </w:pPr>
      <w:r w:rsidRPr="00A52EF3">
        <w:rPr>
          <w:rFonts w:ascii="Times New Roman" w:hAnsi="Times New Roman" w:cs="Times New Roman"/>
          <w:sz w:val="24"/>
          <w:szCs w:val="24"/>
        </w:rPr>
        <w:t>Ustawa z dnia 5 czerwca 1998 r. o samorządzie powiatowym (Dz.U. z 2013r. poz.595 z późn. zm.).</w:t>
      </w:r>
    </w:p>
    <w:p w:rsidR="004A4AE0" w:rsidRPr="00A52EF3" w:rsidRDefault="004A4AE0" w:rsidP="00F25FCA">
      <w:pPr>
        <w:spacing w:before="240" w:after="120" w:line="360" w:lineRule="auto"/>
        <w:jc w:val="both"/>
        <w:rPr>
          <w:rFonts w:ascii="Times New Roman" w:hAnsi="Times New Roman" w:cs="Times New Roman"/>
          <w:b/>
          <w:sz w:val="24"/>
          <w:szCs w:val="24"/>
        </w:rPr>
      </w:pPr>
    </w:p>
    <w:p w:rsidR="004A4AE0" w:rsidRPr="00A52EF3" w:rsidRDefault="004A4AE0" w:rsidP="00F25FCA">
      <w:pPr>
        <w:spacing w:before="240" w:after="120" w:line="360" w:lineRule="auto"/>
        <w:jc w:val="both"/>
        <w:rPr>
          <w:rFonts w:ascii="Times New Roman" w:hAnsi="Times New Roman" w:cs="Times New Roman"/>
          <w:b/>
          <w:sz w:val="24"/>
          <w:szCs w:val="24"/>
        </w:rPr>
      </w:pPr>
    </w:p>
    <w:p w:rsidR="004A4AE0" w:rsidRPr="00A52EF3" w:rsidRDefault="004A4AE0" w:rsidP="00F25FCA">
      <w:pPr>
        <w:spacing w:before="240" w:after="120" w:line="360" w:lineRule="auto"/>
        <w:jc w:val="both"/>
        <w:rPr>
          <w:rFonts w:ascii="Times New Roman" w:hAnsi="Times New Roman" w:cs="Times New Roman"/>
          <w:b/>
          <w:sz w:val="24"/>
          <w:szCs w:val="24"/>
        </w:rPr>
      </w:pPr>
    </w:p>
    <w:p w:rsidR="004A4AE0" w:rsidRPr="00A52EF3" w:rsidRDefault="004A4AE0" w:rsidP="00F25FCA">
      <w:pPr>
        <w:spacing w:before="240" w:after="120" w:line="360" w:lineRule="auto"/>
        <w:jc w:val="both"/>
        <w:rPr>
          <w:rFonts w:ascii="Times New Roman" w:hAnsi="Times New Roman" w:cs="Times New Roman"/>
          <w:b/>
          <w:sz w:val="24"/>
          <w:szCs w:val="24"/>
        </w:rPr>
      </w:pPr>
    </w:p>
    <w:p w:rsidR="00715132" w:rsidRPr="00A52EF3" w:rsidRDefault="00715132" w:rsidP="00F25FCA">
      <w:pPr>
        <w:spacing w:before="240" w:after="12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lastRenderedPageBreak/>
        <w:t>Dokumenty strategiczne:</w:t>
      </w:r>
    </w:p>
    <w:p w:rsidR="00715132" w:rsidRPr="00A52EF3" w:rsidRDefault="00715132" w:rsidP="00F25FCA">
      <w:pPr>
        <w:autoSpaceDE w:val="0"/>
        <w:autoSpaceDN w:val="0"/>
        <w:adjustRightInd w:val="0"/>
        <w:spacing w:before="240" w:after="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t xml:space="preserve">Międzynarodowe: </w:t>
      </w:r>
    </w:p>
    <w:p w:rsidR="00715132" w:rsidRPr="00A52EF3" w:rsidRDefault="00715132" w:rsidP="00F25FCA">
      <w:pPr>
        <w:pStyle w:val="Akapitzlist"/>
        <w:numPr>
          <w:ilvl w:val="0"/>
          <w:numId w:val="6"/>
        </w:numPr>
        <w:autoSpaceDE w:val="0"/>
        <w:autoSpaceDN w:val="0"/>
        <w:adjustRightInd w:val="0"/>
        <w:spacing w:after="283"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Protokół z Kioto do Ramowej Konwencji Narodów Zjednoczonych w sprawie zmian klimatu, </w:t>
      </w:r>
    </w:p>
    <w:p w:rsidR="00715132" w:rsidRPr="00A52EF3" w:rsidRDefault="00715132" w:rsidP="00F25FCA">
      <w:pPr>
        <w:pStyle w:val="Akapitzlist"/>
        <w:numPr>
          <w:ilvl w:val="0"/>
          <w:numId w:val="6"/>
        </w:numPr>
        <w:autoSpaceDE w:val="0"/>
        <w:autoSpaceDN w:val="0"/>
        <w:adjustRightInd w:val="0"/>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Dokument końcowy Konferencji Narodów Zjednoczonych w sprawie zrównoważonego rozwoju Rio+20,</w:t>
      </w:r>
    </w:p>
    <w:p w:rsidR="00715132" w:rsidRPr="00A52EF3" w:rsidRDefault="00715132" w:rsidP="00F25FCA">
      <w:pPr>
        <w:pStyle w:val="Akapitzlist"/>
        <w:numPr>
          <w:ilvl w:val="0"/>
          <w:numId w:val="6"/>
        </w:numPr>
        <w:autoSpaceDE w:val="0"/>
        <w:autoSpaceDN w:val="0"/>
        <w:adjustRightInd w:val="0"/>
        <w:spacing w:after="283"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Ramowa Konwencja Narodów Zjednoczonych w sprawie zmian klimatu, </w:t>
      </w:r>
    </w:p>
    <w:p w:rsidR="00715132" w:rsidRPr="00A52EF3" w:rsidRDefault="00715132" w:rsidP="00F25FCA">
      <w:pPr>
        <w:pStyle w:val="Akapitzlist"/>
        <w:numPr>
          <w:ilvl w:val="0"/>
          <w:numId w:val="6"/>
        </w:numPr>
        <w:autoSpaceDE w:val="0"/>
        <w:autoSpaceDN w:val="0"/>
        <w:adjustRightInd w:val="0"/>
        <w:spacing w:after="283"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Europejska Konwencja Krajobrazowa, </w:t>
      </w:r>
    </w:p>
    <w:p w:rsidR="00715132" w:rsidRPr="00A52EF3" w:rsidRDefault="00715132" w:rsidP="00F25FCA">
      <w:pPr>
        <w:pStyle w:val="Akapitzlist"/>
        <w:numPr>
          <w:ilvl w:val="0"/>
          <w:numId w:val="6"/>
        </w:numPr>
        <w:autoSpaceDE w:val="0"/>
        <w:autoSpaceDN w:val="0"/>
        <w:adjustRightInd w:val="0"/>
        <w:spacing w:after="0" w:line="360" w:lineRule="auto"/>
        <w:ind w:left="714" w:hanging="357"/>
        <w:jc w:val="both"/>
        <w:rPr>
          <w:rFonts w:ascii="Times New Roman" w:hAnsi="Times New Roman" w:cs="Times New Roman"/>
          <w:sz w:val="24"/>
          <w:szCs w:val="24"/>
        </w:rPr>
      </w:pPr>
      <w:r w:rsidRPr="00A52EF3">
        <w:rPr>
          <w:rFonts w:ascii="Times New Roman" w:hAnsi="Times New Roman" w:cs="Times New Roman"/>
          <w:sz w:val="24"/>
          <w:szCs w:val="24"/>
        </w:rPr>
        <w:t xml:space="preserve">Konwencja w sprawie transgranicznego zanieczyszczania powietrza na dalekie odległości z jej protokółami dodatkowymi. </w:t>
      </w:r>
    </w:p>
    <w:p w:rsidR="00715132" w:rsidRPr="00A52EF3" w:rsidRDefault="00715132" w:rsidP="00F25FCA">
      <w:pPr>
        <w:spacing w:before="240" w:after="120" w:line="360" w:lineRule="auto"/>
        <w:jc w:val="both"/>
        <w:rPr>
          <w:rFonts w:ascii="Times New Roman" w:hAnsi="Times New Roman" w:cs="Times New Roman"/>
          <w:b/>
          <w:sz w:val="24"/>
        </w:rPr>
      </w:pPr>
      <w:r w:rsidRPr="00A52EF3">
        <w:rPr>
          <w:rFonts w:ascii="Times New Roman" w:hAnsi="Times New Roman" w:cs="Times New Roman"/>
          <w:b/>
          <w:sz w:val="24"/>
        </w:rPr>
        <w:t>Krajowe:</w:t>
      </w:r>
    </w:p>
    <w:p w:rsidR="00715132" w:rsidRPr="00A52EF3" w:rsidRDefault="00715132" w:rsidP="00F25FCA">
      <w:pPr>
        <w:pStyle w:val="Akapitzlist"/>
        <w:numPr>
          <w:ilvl w:val="0"/>
          <w:numId w:val="8"/>
        </w:numPr>
        <w:autoSpaceDE w:val="0"/>
        <w:autoSpaceDN w:val="0"/>
        <w:adjustRightInd w:val="0"/>
        <w:spacing w:after="12"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Długookresowa Strategia Rozwoju Kraju, Polska 2030, Trzecia fala nowoczesności (MAiC styczeń 2013 r.), </w:t>
      </w:r>
    </w:p>
    <w:p w:rsidR="00715132" w:rsidRPr="00A52EF3" w:rsidRDefault="00715132" w:rsidP="00F25FCA">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Koncepcja Przestrzennego Zagospodarowania Kraju 2030, </w:t>
      </w:r>
    </w:p>
    <w:p w:rsidR="00715132" w:rsidRPr="00A52EF3" w:rsidRDefault="00715132" w:rsidP="00F25FCA">
      <w:pPr>
        <w:pStyle w:val="Akapitzlist"/>
        <w:numPr>
          <w:ilvl w:val="0"/>
          <w:numId w:val="8"/>
        </w:numPr>
        <w:autoSpaceDE w:val="0"/>
        <w:autoSpaceDN w:val="0"/>
        <w:adjustRightInd w:val="0"/>
        <w:spacing w:after="3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Strategia Bezpieczeństwo Energetyczne i Środowisko, perspektywa do 2020r. (BEiŚ), Warszawa 2014r., </w:t>
      </w:r>
    </w:p>
    <w:p w:rsidR="00715132" w:rsidRPr="00A52EF3" w:rsidRDefault="00715132" w:rsidP="00F25FCA">
      <w:pPr>
        <w:pStyle w:val="Akapitzlist"/>
        <w:numPr>
          <w:ilvl w:val="0"/>
          <w:numId w:val="8"/>
        </w:numPr>
        <w:autoSpaceDE w:val="0"/>
        <w:autoSpaceDN w:val="0"/>
        <w:adjustRightInd w:val="0"/>
        <w:spacing w:after="3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Polityka Energetyczną Polski do 2030 r. Ministerstwo Gospodarki, listopad 2009r., </w:t>
      </w:r>
    </w:p>
    <w:p w:rsidR="00715132" w:rsidRPr="00A52EF3" w:rsidRDefault="00715132" w:rsidP="00F25FCA">
      <w:pPr>
        <w:pStyle w:val="Akapitzlist"/>
        <w:numPr>
          <w:ilvl w:val="0"/>
          <w:numId w:val="8"/>
        </w:numPr>
        <w:autoSpaceDE w:val="0"/>
        <w:autoSpaceDN w:val="0"/>
        <w:adjustRightInd w:val="0"/>
        <w:spacing w:after="3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Założenia Narodowego Programu Rozwoju Gospodarki Niskoemisyjnej, </w:t>
      </w:r>
    </w:p>
    <w:p w:rsidR="00715132" w:rsidRPr="00A52EF3" w:rsidRDefault="00715132" w:rsidP="00F25FCA">
      <w:pPr>
        <w:pStyle w:val="Akapitzlist"/>
        <w:numPr>
          <w:ilvl w:val="0"/>
          <w:numId w:val="8"/>
        </w:numPr>
        <w:autoSpaceDE w:val="0"/>
        <w:autoSpaceDN w:val="0"/>
        <w:adjustRightInd w:val="0"/>
        <w:spacing w:after="3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Krajowy Plan Działań w zakresie energii ze źródeł odnawialnych, </w:t>
      </w:r>
    </w:p>
    <w:p w:rsidR="00715132" w:rsidRPr="00A52EF3" w:rsidRDefault="00715132" w:rsidP="00F25FCA">
      <w:pPr>
        <w:pStyle w:val="Akapitzlist"/>
        <w:numPr>
          <w:ilvl w:val="0"/>
          <w:numId w:val="8"/>
        </w:numPr>
        <w:autoSpaceDE w:val="0"/>
        <w:autoSpaceDN w:val="0"/>
        <w:adjustRightInd w:val="0"/>
        <w:spacing w:after="3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Krajowy Plan Działań dotyczący efektywności energetycznej, </w:t>
      </w:r>
    </w:p>
    <w:p w:rsidR="00715132" w:rsidRPr="00A52EF3" w:rsidRDefault="00715132" w:rsidP="00F25FCA">
      <w:pPr>
        <w:pStyle w:val="Akapitzlist"/>
        <w:numPr>
          <w:ilvl w:val="0"/>
          <w:numId w:val="8"/>
        </w:numPr>
        <w:autoSpaceDE w:val="0"/>
        <w:autoSpaceDN w:val="0"/>
        <w:adjustRightInd w:val="0"/>
        <w:spacing w:after="169"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Załącznik nr 9 do Regulaminu Konkursu nr 2/POIiŚ/9.3/2013 „Szczegółowe zalecenia dotyczące struktury planu gospodarki niskoemisyjnej”, Narodowy Fundusz Ochrony Środowiska i Gospodarki Wodnej, </w:t>
      </w:r>
    </w:p>
    <w:p w:rsidR="008327B5" w:rsidRPr="00A52EF3" w:rsidRDefault="00715132" w:rsidP="00905E5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„Jak opracować Plan działań na rzecz zrównoważonej energii (SEAP)”, 2010, Urząd Publikacji Unii Europejskiej, Luksemburg, </w:t>
      </w:r>
    </w:p>
    <w:p w:rsidR="008F14EE" w:rsidRPr="00A52EF3" w:rsidRDefault="008F14EE" w:rsidP="00F25FCA">
      <w:pPr>
        <w:spacing w:before="240" w:after="120" w:line="360" w:lineRule="auto"/>
        <w:jc w:val="both"/>
        <w:rPr>
          <w:rFonts w:ascii="Times New Roman" w:hAnsi="Times New Roman" w:cs="Times New Roman"/>
          <w:b/>
          <w:sz w:val="24"/>
          <w:szCs w:val="24"/>
        </w:rPr>
      </w:pPr>
    </w:p>
    <w:p w:rsidR="004A4AE0" w:rsidRPr="00A52EF3" w:rsidRDefault="004A4AE0" w:rsidP="00F25FCA">
      <w:pPr>
        <w:spacing w:before="240" w:after="120" w:line="360" w:lineRule="auto"/>
        <w:jc w:val="both"/>
        <w:rPr>
          <w:rFonts w:ascii="Times New Roman" w:hAnsi="Times New Roman" w:cs="Times New Roman"/>
          <w:b/>
          <w:sz w:val="24"/>
          <w:szCs w:val="24"/>
        </w:rPr>
      </w:pPr>
    </w:p>
    <w:p w:rsidR="008327B5" w:rsidRPr="00A52EF3" w:rsidRDefault="008327B5" w:rsidP="00F25FCA">
      <w:pPr>
        <w:spacing w:before="240" w:after="12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lastRenderedPageBreak/>
        <w:t>Wojewódzkie:</w:t>
      </w:r>
    </w:p>
    <w:p w:rsidR="008327B5" w:rsidRPr="00A52EF3" w:rsidRDefault="00314327" w:rsidP="00F25FCA">
      <w:pPr>
        <w:pStyle w:val="Akapitzlist"/>
        <w:numPr>
          <w:ilvl w:val="0"/>
          <w:numId w:val="11"/>
        </w:numPr>
        <w:spacing w:before="120" w:after="120" w:line="360" w:lineRule="auto"/>
        <w:jc w:val="both"/>
        <w:rPr>
          <w:rFonts w:ascii="Times New Roman" w:hAnsi="Times New Roman" w:cs="Times New Roman"/>
          <w:b/>
          <w:sz w:val="24"/>
          <w:szCs w:val="24"/>
        </w:rPr>
      </w:pPr>
      <w:r w:rsidRPr="00A52EF3">
        <w:rPr>
          <w:rFonts w:ascii="Times New Roman" w:hAnsi="Times New Roman" w:cs="Times New Roman"/>
          <w:sz w:val="24"/>
          <w:szCs w:val="24"/>
        </w:rPr>
        <w:t>Stan środowiska w województwie świętokrzyskim. Raport 2015r.,</w:t>
      </w:r>
    </w:p>
    <w:p w:rsidR="008327B5" w:rsidRPr="00A52EF3" w:rsidRDefault="008327B5" w:rsidP="00F25FCA">
      <w:pPr>
        <w:pStyle w:val="Akapitzlist"/>
        <w:numPr>
          <w:ilvl w:val="0"/>
          <w:numId w:val="9"/>
        </w:numPr>
        <w:spacing w:line="360" w:lineRule="auto"/>
        <w:jc w:val="both"/>
        <w:rPr>
          <w:rFonts w:ascii="Times New Roman" w:hAnsi="Times New Roman" w:cs="Times New Roman"/>
          <w:sz w:val="24"/>
        </w:rPr>
      </w:pPr>
      <w:r w:rsidRPr="00A52EF3">
        <w:rPr>
          <w:rFonts w:ascii="Times New Roman" w:hAnsi="Times New Roman" w:cs="Times New Roman"/>
          <w:sz w:val="24"/>
        </w:rPr>
        <w:t xml:space="preserve">Program  ochrony  środowiska  </w:t>
      </w:r>
      <w:r w:rsidR="00703B39" w:rsidRPr="00A52EF3">
        <w:rPr>
          <w:rFonts w:ascii="Times New Roman" w:hAnsi="Times New Roman" w:cs="Times New Roman"/>
          <w:sz w:val="24"/>
        </w:rPr>
        <w:t xml:space="preserve">dla </w:t>
      </w:r>
      <w:r w:rsidRPr="00A52EF3">
        <w:rPr>
          <w:rFonts w:ascii="Times New Roman" w:hAnsi="Times New Roman" w:cs="Times New Roman"/>
          <w:sz w:val="24"/>
        </w:rPr>
        <w:t xml:space="preserve">województwa  </w:t>
      </w:r>
      <w:r w:rsidR="00703B39" w:rsidRPr="00A52EF3">
        <w:rPr>
          <w:rFonts w:ascii="Times New Roman" w:hAnsi="Times New Roman" w:cs="Times New Roman"/>
          <w:sz w:val="24"/>
        </w:rPr>
        <w:t xml:space="preserve">świętokrzyskiego  na  lata  2011-2015 </w:t>
      </w:r>
      <w:r w:rsidRPr="00A52EF3">
        <w:rPr>
          <w:rFonts w:ascii="Times New Roman" w:hAnsi="Times New Roman" w:cs="Times New Roman"/>
          <w:sz w:val="24"/>
        </w:rPr>
        <w:t xml:space="preserve">z perspektywą </w:t>
      </w:r>
      <w:r w:rsidRPr="00A52EF3">
        <w:rPr>
          <w:rFonts w:ascii="Times New Roman" w:hAnsi="Times New Roman" w:cs="Times New Roman"/>
          <w:sz w:val="24"/>
          <w:szCs w:val="24"/>
        </w:rPr>
        <w:t>do 2019 r.,</w:t>
      </w:r>
    </w:p>
    <w:p w:rsidR="00D2228B" w:rsidRPr="00A52EF3" w:rsidRDefault="00D2228B" w:rsidP="00F25FCA">
      <w:pPr>
        <w:pStyle w:val="Akapitzlist"/>
        <w:numPr>
          <w:ilvl w:val="0"/>
          <w:numId w:val="9"/>
        </w:numPr>
        <w:spacing w:before="100" w:beforeAutospacing="1" w:after="0" w:line="360" w:lineRule="auto"/>
        <w:ind w:left="714" w:hanging="357"/>
        <w:jc w:val="both"/>
        <w:rPr>
          <w:rFonts w:ascii="Times New Roman" w:hAnsi="Times New Roman" w:cs="Times New Roman"/>
          <w:b/>
          <w:sz w:val="24"/>
          <w:szCs w:val="24"/>
        </w:rPr>
      </w:pPr>
      <w:r w:rsidRPr="00A52EF3">
        <w:rPr>
          <w:rFonts w:ascii="Times New Roman" w:hAnsi="Times New Roman" w:cs="Times New Roman"/>
        </w:rPr>
        <w:t>Strategia Rozwoju Województwa Świętokrzyskiego do roku 2020</w:t>
      </w:r>
    </w:p>
    <w:p w:rsidR="0038314B" w:rsidRPr="00A52EF3" w:rsidRDefault="008327B5" w:rsidP="00F25FCA">
      <w:pPr>
        <w:pStyle w:val="Akapitzlist"/>
        <w:numPr>
          <w:ilvl w:val="0"/>
          <w:numId w:val="9"/>
        </w:numPr>
        <w:spacing w:before="100" w:beforeAutospacing="1" w:after="0" w:line="360" w:lineRule="auto"/>
        <w:ind w:left="714" w:hanging="357"/>
        <w:jc w:val="both"/>
        <w:rPr>
          <w:rFonts w:ascii="Times New Roman" w:hAnsi="Times New Roman" w:cs="Times New Roman"/>
          <w:b/>
          <w:sz w:val="24"/>
          <w:szCs w:val="24"/>
        </w:rPr>
      </w:pPr>
      <w:r w:rsidRPr="00A52EF3">
        <w:rPr>
          <w:rFonts w:ascii="Times New Roman" w:hAnsi="Times New Roman" w:cs="Times New Roman"/>
          <w:sz w:val="24"/>
          <w:szCs w:val="24"/>
        </w:rPr>
        <w:t xml:space="preserve">Program  ochrony  powietrza  dla  </w:t>
      </w:r>
      <w:r w:rsidR="00944E61" w:rsidRPr="00A52EF3">
        <w:rPr>
          <w:rFonts w:ascii="Times New Roman" w:hAnsi="Times New Roman" w:cs="Times New Roman"/>
          <w:sz w:val="24"/>
          <w:szCs w:val="24"/>
        </w:rPr>
        <w:t>województwa świętokrzyskiego. Część B strefa świętokrzyska ze względu na przekroczenia pyłu PM10 i benzo(a)pirenu. Kielce 2011r.</w:t>
      </w:r>
    </w:p>
    <w:p w:rsidR="00944E61" w:rsidRPr="00A52EF3" w:rsidRDefault="00944E61" w:rsidP="00F25FCA">
      <w:pPr>
        <w:pStyle w:val="Akapitzlist"/>
        <w:numPr>
          <w:ilvl w:val="0"/>
          <w:numId w:val="9"/>
        </w:numPr>
        <w:spacing w:before="100" w:beforeAutospacing="1" w:after="0" w:line="360" w:lineRule="auto"/>
        <w:ind w:left="714" w:hanging="357"/>
        <w:jc w:val="both"/>
        <w:rPr>
          <w:rFonts w:ascii="Times New Roman" w:hAnsi="Times New Roman" w:cs="Times New Roman"/>
          <w:b/>
          <w:sz w:val="24"/>
          <w:szCs w:val="24"/>
        </w:rPr>
      </w:pPr>
      <w:r w:rsidRPr="00A52EF3">
        <w:rPr>
          <w:rFonts w:ascii="Times New Roman" w:hAnsi="Times New Roman" w:cs="Times New Roman"/>
          <w:sz w:val="24"/>
          <w:szCs w:val="24"/>
        </w:rPr>
        <w:t>Program  ochrony  powietrza  dla  województwa świętokrzyskiego. Część C strefa świętokrzyska ze względu na przekroczenia ozonu. Kielce 2011r.</w:t>
      </w:r>
    </w:p>
    <w:p w:rsidR="000F336C" w:rsidRPr="00A52EF3" w:rsidRDefault="0044690D" w:rsidP="004A4AE0">
      <w:pPr>
        <w:pStyle w:val="Akapitzlist"/>
        <w:numPr>
          <w:ilvl w:val="0"/>
          <w:numId w:val="9"/>
        </w:numPr>
        <w:spacing w:before="100" w:beforeAutospacing="1" w:after="0" w:line="360" w:lineRule="auto"/>
        <w:ind w:left="714" w:hanging="357"/>
        <w:jc w:val="both"/>
        <w:rPr>
          <w:rFonts w:ascii="Times New Roman" w:hAnsi="Times New Roman" w:cs="Times New Roman"/>
          <w:b/>
          <w:sz w:val="28"/>
          <w:szCs w:val="24"/>
        </w:rPr>
      </w:pPr>
      <w:r w:rsidRPr="00A52EF3">
        <w:rPr>
          <w:rFonts w:ascii="Times New Roman" w:hAnsi="Times New Roman" w:cs="Times New Roman"/>
          <w:sz w:val="24"/>
        </w:rPr>
        <w:t>Ocena jakości powietrza dla województwa świętokrzyskiego za 2015 rok</w:t>
      </w:r>
    </w:p>
    <w:p w:rsidR="008327B5" w:rsidRPr="00A52EF3" w:rsidRDefault="008327B5" w:rsidP="00F25FCA">
      <w:pPr>
        <w:spacing w:before="240" w:after="12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t>Gminne:</w:t>
      </w:r>
    </w:p>
    <w:p w:rsidR="00D2228B" w:rsidRPr="00A52EF3" w:rsidRDefault="00E9507D" w:rsidP="00F25FCA">
      <w:pPr>
        <w:pStyle w:val="Akapitzlist"/>
        <w:numPr>
          <w:ilvl w:val="0"/>
          <w:numId w:val="10"/>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Strategia Rozwoju Gminy Brody na lata 2014 – 2020 </w:t>
      </w:r>
      <w:r w:rsidR="00D2228B" w:rsidRPr="00A52EF3">
        <w:rPr>
          <w:rFonts w:ascii="Times New Roman" w:hAnsi="Times New Roman" w:cs="Times New Roman"/>
          <w:sz w:val="24"/>
          <w:szCs w:val="24"/>
        </w:rPr>
        <w:t>–</w:t>
      </w:r>
      <w:r w:rsidRPr="00A52EF3">
        <w:rPr>
          <w:rFonts w:ascii="Times New Roman" w:hAnsi="Times New Roman" w:cs="Times New Roman"/>
          <w:sz w:val="24"/>
          <w:szCs w:val="24"/>
        </w:rPr>
        <w:t xml:space="preserve"> Aktualizacja</w:t>
      </w:r>
    </w:p>
    <w:p w:rsidR="00715132" w:rsidRPr="00A52EF3" w:rsidRDefault="00D2228B" w:rsidP="00F25FCA">
      <w:pPr>
        <w:pStyle w:val="Akapitzlist"/>
        <w:numPr>
          <w:ilvl w:val="0"/>
          <w:numId w:val="10"/>
        </w:numPr>
        <w:spacing w:line="360" w:lineRule="auto"/>
        <w:jc w:val="both"/>
        <w:rPr>
          <w:rFonts w:ascii="Times New Roman" w:hAnsi="Times New Roman" w:cs="Times New Roman"/>
          <w:sz w:val="24"/>
          <w:szCs w:val="24"/>
        </w:rPr>
      </w:pPr>
      <w:r w:rsidRPr="00A52EF3">
        <w:rPr>
          <w:rFonts w:ascii="Times New Roman" w:hAnsi="Times New Roman" w:cs="Times New Roman"/>
          <w:iCs/>
          <w:sz w:val="24"/>
          <w:szCs w:val="24"/>
        </w:rPr>
        <w:t>Program Ochrony Środowiska dla Gminy Brody na lata 2009-2012  z perspektywą na lata 2013-2016</w:t>
      </w:r>
    </w:p>
    <w:p w:rsidR="0059498D" w:rsidRPr="00A52EF3" w:rsidRDefault="0059498D" w:rsidP="00F25FCA">
      <w:pPr>
        <w:pStyle w:val="Akapitzlist"/>
        <w:numPr>
          <w:ilvl w:val="0"/>
          <w:numId w:val="10"/>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Projekt założeń do planu zaopatrzenia w ciepło, energię elektryczną i paliwa gazowe dla Brody na lata 2015-2030</w:t>
      </w:r>
    </w:p>
    <w:p w:rsidR="008F14EE" w:rsidRPr="00A52EF3" w:rsidRDefault="005E5D19" w:rsidP="00F25FCA">
      <w:pPr>
        <w:pStyle w:val="Akapitzlist"/>
        <w:numPr>
          <w:ilvl w:val="0"/>
          <w:numId w:val="10"/>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Zmiana Studium Uwarunkowań i Kierunków Zagospodarowania Przestrzennego Gminy Brody</w:t>
      </w:r>
      <w:bookmarkStart w:id="6" w:name="_Toc451417886"/>
    </w:p>
    <w:p w:rsidR="004A4AE0" w:rsidRPr="00A52EF3" w:rsidRDefault="004A4AE0" w:rsidP="004A4AE0">
      <w:pPr>
        <w:spacing w:line="360" w:lineRule="auto"/>
        <w:jc w:val="both"/>
        <w:rPr>
          <w:rFonts w:ascii="Times New Roman" w:hAnsi="Times New Roman" w:cs="Times New Roman"/>
          <w:sz w:val="24"/>
          <w:szCs w:val="24"/>
        </w:rPr>
      </w:pPr>
    </w:p>
    <w:p w:rsidR="0038314B" w:rsidRPr="00A52EF3" w:rsidRDefault="0038314B" w:rsidP="00F61B30">
      <w:pPr>
        <w:pStyle w:val="Nagwek2"/>
        <w:numPr>
          <w:ilvl w:val="1"/>
          <w:numId w:val="86"/>
        </w:numPr>
        <w:spacing w:line="360" w:lineRule="auto"/>
        <w:rPr>
          <w:rFonts w:ascii="Times New Roman" w:hAnsi="Times New Roman" w:cs="Times New Roman"/>
          <w:color w:val="auto"/>
        </w:rPr>
      </w:pPr>
      <w:bookmarkStart w:id="7" w:name="_Toc470763983"/>
      <w:r w:rsidRPr="00A52EF3">
        <w:rPr>
          <w:rFonts w:ascii="Times New Roman" w:hAnsi="Times New Roman" w:cs="Times New Roman"/>
          <w:color w:val="auto"/>
        </w:rPr>
        <w:t>Analiza regionalnych planów z punktu widzenia PGN</w:t>
      </w:r>
      <w:bookmarkEnd w:id="6"/>
      <w:bookmarkEnd w:id="7"/>
    </w:p>
    <w:p w:rsidR="00E9507D" w:rsidRPr="00A52EF3" w:rsidRDefault="00E9507D" w:rsidP="00F25FCA">
      <w:pPr>
        <w:spacing w:before="24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t>Strategia Rozwoju Gminy Brody na lata 2014 – 2020 - Aktualizacja</w:t>
      </w:r>
    </w:p>
    <w:p w:rsidR="00E9507D" w:rsidRPr="00A52EF3" w:rsidRDefault="00E9507D"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Kluczową rolę w dążeniu do realizacji wizji rozwoju Gminy Brody odgrywają cele, wskazujące kierunki zrównoważonego rozwoju Gminy, pozostające w harmonii z polityką regionu i państwa. Wyróżniono trzy obszary, w których następnie określono cele planowane do realizacji w latach 2014-2020:</w:t>
      </w:r>
    </w:p>
    <w:p w:rsidR="004A4AE0" w:rsidRPr="00A52EF3" w:rsidRDefault="004A4AE0" w:rsidP="00F25FCA">
      <w:pPr>
        <w:spacing w:line="360" w:lineRule="auto"/>
        <w:ind w:firstLine="708"/>
        <w:jc w:val="both"/>
        <w:rPr>
          <w:rFonts w:ascii="Times New Roman" w:hAnsi="Times New Roman" w:cs="Times New Roman"/>
          <w:sz w:val="24"/>
          <w:szCs w:val="24"/>
        </w:rPr>
      </w:pPr>
    </w:p>
    <w:p w:rsidR="00E9507D" w:rsidRPr="00A52EF3" w:rsidRDefault="00E9507D" w:rsidP="00F25FCA">
      <w:pPr>
        <w:pStyle w:val="Akapitzlist"/>
        <w:numPr>
          <w:ilvl w:val="0"/>
          <w:numId w:val="12"/>
        </w:numPr>
        <w:suppressAutoHyphens/>
        <w:spacing w:after="0" w:line="360" w:lineRule="auto"/>
        <w:ind w:hanging="720"/>
        <w:contextualSpacing w:val="0"/>
        <w:rPr>
          <w:rFonts w:ascii="Times New Roman" w:hAnsi="Times New Roman" w:cs="Times New Roman"/>
          <w:sz w:val="24"/>
          <w:szCs w:val="24"/>
        </w:rPr>
      </w:pPr>
      <w:r w:rsidRPr="00A52EF3">
        <w:rPr>
          <w:rFonts w:ascii="Times New Roman" w:hAnsi="Times New Roman" w:cs="Times New Roman"/>
          <w:sz w:val="24"/>
          <w:szCs w:val="24"/>
        </w:rPr>
        <w:t>Obszar 1: Infrastruktura techniczna i społeczna</w:t>
      </w:r>
    </w:p>
    <w:p w:rsidR="00E9507D" w:rsidRPr="00A52EF3" w:rsidRDefault="00E9507D" w:rsidP="00F25FCA">
      <w:pPr>
        <w:pStyle w:val="Akapitzlist"/>
        <w:numPr>
          <w:ilvl w:val="0"/>
          <w:numId w:val="12"/>
        </w:numPr>
        <w:suppressAutoHyphens/>
        <w:spacing w:after="0" w:line="360" w:lineRule="auto"/>
        <w:ind w:hanging="720"/>
        <w:contextualSpacing w:val="0"/>
        <w:rPr>
          <w:rFonts w:ascii="Times New Roman" w:hAnsi="Times New Roman" w:cs="Times New Roman"/>
          <w:sz w:val="24"/>
          <w:szCs w:val="24"/>
        </w:rPr>
      </w:pPr>
      <w:r w:rsidRPr="00A52EF3">
        <w:rPr>
          <w:rFonts w:ascii="Times New Roman" w:hAnsi="Times New Roman" w:cs="Times New Roman"/>
          <w:sz w:val="24"/>
          <w:szCs w:val="24"/>
        </w:rPr>
        <w:t xml:space="preserve">Obszar 2: Potencjał gospodarczy gminy </w:t>
      </w:r>
    </w:p>
    <w:p w:rsidR="00E9507D" w:rsidRPr="00A52EF3" w:rsidRDefault="00E9507D" w:rsidP="00F25FCA">
      <w:pPr>
        <w:pStyle w:val="Akapitzlist"/>
        <w:numPr>
          <w:ilvl w:val="0"/>
          <w:numId w:val="12"/>
        </w:numPr>
        <w:suppressAutoHyphens/>
        <w:spacing w:after="240" w:line="360" w:lineRule="auto"/>
        <w:ind w:hanging="720"/>
        <w:contextualSpacing w:val="0"/>
        <w:jc w:val="both"/>
        <w:rPr>
          <w:rFonts w:ascii="Times New Roman" w:hAnsi="Times New Roman" w:cs="Times New Roman"/>
          <w:sz w:val="24"/>
          <w:szCs w:val="24"/>
        </w:rPr>
      </w:pPr>
      <w:r w:rsidRPr="00A52EF3">
        <w:rPr>
          <w:rFonts w:ascii="Times New Roman" w:hAnsi="Times New Roman" w:cs="Times New Roman"/>
          <w:sz w:val="24"/>
          <w:szCs w:val="24"/>
        </w:rPr>
        <w:t xml:space="preserve">Obszar 3: Kapitał ludzki i społeczny </w:t>
      </w:r>
    </w:p>
    <w:p w:rsidR="008F14EE" w:rsidRPr="00A52EF3" w:rsidRDefault="008F14EE" w:rsidP="00F25FCA">
      <w:pPr>
        <w:spacing w:line="360" w:lineRule="auto"/>
        <w:rPr>
          <w:rFonts w:ascii="Times New Roman" w:hAnsi="Times New Roman" w:cs="Times New Roman"/>
          <w:sz w:val="24"/>
          <w:szCs w:val="24"/>
        </w:rPr>
      </w:pPr>
    </w:p>
    <w:p w:rsidR="00925850" w:rsidRPr="00A52EF3" w:rsidRDefault="00925850"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t>Cele planowane do realizacji w ramach obszaru</w:t>
      </w:r>
      <w:r w:rsidR="00CC506F" w:rsidRPr="00A52EF3">
        <w:rPr>
          <w:rFonts w:ascii="Times New Roman" w:hAnsi="Times New Roman" w:cs="Times New Roman"/>
          <w:sz w:val="24"/>
          <w:szCs w:val="24"/>
        </w:rPr>
        <w:t xml:space="preserve"> 1.</w:t>
      </w:r>
      <w:r w:rsidRPr="00A52EF3">
        <w:rPr>
          <w:rFonts w:ascii="Times New Roman" w:hAnsi="Times New Roman" w:cs="Times New Roman"/>
          <w:sz w:val="24"/>
          <w:szCs w:val="24"/>
        </w:rPr>
        <w:t xml:space="preserve"> to:</w:t>
      </w:r>
    </w:p>
    <w:p w:rsidR="00925850" w:rsidRPr="00A52EF3" w:rsidRDefault="00925850" w:rsidP="00F25FCA">
      <w:pPr>
        <w:pStyle w:val="Akapitzlist"/>
        <w:numPr>
          <w:ilvl w:val="0"/>
          <w:numId w:val="13"/>
        </w:numPr>
        <w:spacing w:line="360" w:lineRule="auto"/>
        <w:ind w:hanging="720"/>
        <w:contextualSpacing w:val="0"/>
        <w:rPr>
          <w:rFonts w:ascii="Times New Roman" w:hAnsi="Times New Roman" w:cs="Times New Roman"/>
          <w:sz w:val="24"/>
          <w:szCs w:val="24"/>
        </w:rPr>
      </w:pPr>
      <w:r w:rsidRPr="00A52EF3">
        <w:rPr>
          <w:rFonts w:ascii="Times New Roman" w:hAnsi="Times New Roman" w:cs="Times New Roman"/>
          <w:sz w:val="24"/>
          <w:szCs w:val="24"/>
        </w:rPr>
        <w:t>Poprawa stanu infrastruktury technicznej</w:t>
      </w:r>
    </w:p>
    <w:p w:rsidR="00CC506F" w:rsidRPr="00A52EF3" w:rsidRDefault="00CC506F" w:rsidP="00F25FCA">
      <w:pPr>
        <w:spacing w:after="0"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W ramach poprawy infrastruktury technicznej uwzględniono działania mające na celu zabezpieczenie energetyczne gminy w tym zmiana konwencjonalnych źródeł ciepła na odnawialne.</w:t>
      </w:r>
    </w:p>
    <w:p w:rsidR="00925850" w:rsidRPr="00A52EF3" w:rsidRDefault="00925850" w:rsidP="00F25FCA">
      <w:pPr>
        <w:pStyle w:val="Akapitzlist"/>
        <w:numPr>
          <w:ilvl w:val="0"/>
          <w:numId w:val="13"/>
        </w:numPr>
        <w:spacing w:line="360" w:lineRule="auto"/>
        <w:ind w:hanging="720"/>
        <w:contextualSpacing w:val="0"/>
        <w:rPr>
          <w:rFonts w:ascii="Times New Roman" w:hAnsi="Times New Roman" w:cs="Times New Roman"/>
          <w:sz w:val="24"/>
          <w:szCs w:val="24"/>
        </w:rPr>
      </w:pPr>
      <w:r w:rsidRPr="00A52EF3">
        <w:rPr>
          <w:rFonts w:ascii="Times New Roman" w:hAnsi="Times New Roman" w:cs="Times New Roman"/>
          <w:sz w:val="24"/>
          <w:szCs w:val="24"/>
        </w:rPr>
        <w:t>Zwiększona dostępność komunikacyjna</w:t>
      </w:r>
    </w:p>
    <w:p w:rsidR="00925850" w:rsidRPr="00A52EF3" w:rsidRDefault="00925850" w:rsidP="00F25FCA">
      <w:pPr>
        <w:pStyle w:val="Akapitzlist"/>
        <w:numPr>
          <w:ilvl w:val="0"/>
          <w:numId w:val="13"/>
        </w:numPr>
        <w:spacing w:line="360" w:lineRule="auto"/>
        <w:ind w:hanging="720"/>
        <w:contextualSpacing w:val="0"/>
        <w:rPr>
          <w:rFonts w:ascii="Times New Roman" w:hAnsi="Times New Roman" w:cs="Times New Roman"/>
          <w:sz w:val="24"/>
          <w:szCs w:val="24"/>
        </w:rPr>
      </w:pPr>
      <w:r w:rsidRPr="00A52EF3">
        <w:rPr>
          <w:rFonts w:ascii="Times New Roman" w:hAnsi="Times New Roman" w:cs="Times New Roman"/>
          <w:sz w:val="24"/>
          <w:szCs w:val="24"/>
        </w:rPr>
        <w:t>Ożywienie gospodarcze i społeczne miasta poprzez poprawę harmonii przestrzennej w gminie</w:t>
      </w:r>
    </w:p>
    <w:p w:rsidR="008F14EE" w:rsidRPr="00A52EF3" w:rsidRDefault="00F71625" w:rsidP="000F336C">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Realizacja powyższych celów wymaga podjęcia</w:t>
      </w:r>
      <w:r w:rsidR="00925850" w:rsidRPr="00A52EF3">
        <w:rPr>
          <w:rFonts w:ascii="Times New Roman" w:hAnsi="Times New Roman" w:cs="Times New Roman"/>
          <w:sz w:val="24"/>
          <w:szCs w:val="24"/>
        </w:rPr>
        <w:t xml:space="preserve"> szeregu działań zarówno koncepcyjnych, jak i dotyczących konkretnych realizacji. </w:t>
      </w:r>
      <w:r w:rsidRPr="00A52EF3">
        <w:rPr>
          <w:rFonts w:ascii="Times New Roman" w:hAnsi="Times New Roman" w:cs="Times New Roman"/>
          <w:sz w:val="24"/>
          <w:szCs w:val="24"/>
        </w:rPr>
        <w:t>W</w:t>
      </w:r>
      <w:r w:rsidR="00925850" w:rsidRPr="00A52EF3">
        <w:rPr>
          <w:rFonts w:ascii="Times New Roman" w:hAnsi="Times New Roman" w:cs="Times New Roman"/>
          <w:sz w:val="24"/>
          <w:szCs w:val="24"/>
        </w:rPr>
        <w:t xml:space="preserve"> gminie dostrzega się potrzebę opracowania dokumentów przedstawiających plany inwestycyjne gminy na najbliższe lata. Stworzenie planów bądź koncepcji dotyczących m.in. zabezpieczenia energetycznego gminy pozwolą na wskazanie najbardziej optymalnych rozwiązań, które powinny zostać wdrożone do realizacji. </w:t>
      </w:r>
    </w:p>
    <w:p w:rsidR="000702AD" w:rsidRPr="00A52EF3" w:rsidRDefault="00D2228B" w:rsidP="00F25FCA">
      <w:pPr>
        <w:spacing w:after="240" w:line="360" w:lineRule="auto"/>
        <w:jc w:val="both"/>
        <w:rPr>
          <w:rFonts w:ascii="Times New Roman" w:hAnsi="Times New Roman" w:cs="Times New Roman"/>
          <w:b/>
          <w:sz w:val="24"/>
          <w:szCs w:val="24"/>
        </w:rPr>
      </w:pPr>
      <w:r w:rsidRPr="00A52EF3">
        <w:rPr>
          <w:rFonts w:ascii="Times New Roman" w:hAnsi="Times New Roman" w:cs="Times New Roman"/>
          <w:b/>
          <w:iCs/>
          <w:sz w:val="24"/>
          <w:szCs w:val="24"/>
        </w:rPr>
        <w:t>Program Ochrony Środowiska dla Gminy Brody na lata 2009-2012  z perspektywą na lata 2013-2016</w:t>
      </w:r>
    </w:p>
    <w:p w:rsidR="008F14EE" w:rsidRPr="00A52EF3" w:rsidRDefault="00CC6878" w:rsidP="00905E52">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W Programie Ochrony Środowiska dla Gminy Brody, w zakresie ochrony powietrza przewidziano działania dotyczą</w:t>
      </w:r>
      <w:r w:rsidR="0095588C" w:rsidRPr="00A52EF3">
        <w:rPr>
          <w:rFonts w:ascii="Times New Roman" w:hAnsi="Times New Roman" w:cs="Times New Roman"/>
          <w:sz w:val="24"/>
          <w:szCs w:val="24"/>
        </w:rPr>
        <w:t>ce</w:t>
      </w:r>
      <w:r w:rsidRPr="00A52EF3">
        <w:rPr>
          <w:rFonts w:ascii="Times New Roman" w:hAnsi="Times New Roman" w:cs="Times New Roman"/>
          <w:sz w:val="24"/>
          <w:szCs w:val="24"/>
        </w:rPr>
        <w:t xml:space="preserve"> p</w:t>
      </w:r>
      <w:r w:rsidR="0095588C" w:rsidRPr="00A52EF3">
        <w:rPr>
          <w:rFonts w:ascii="Times New Roman" w:hAnsi="Times New Roman" w:cs="Times New Roman"/>
          <w:sz w:val="24"/>
          <w:szCs w:val="24"/>
        </w:rPr>
        <w:t>rzede wszystkim przeciwdziałaniu</w:t>
      </w:r>
      <w:r w:rsidRPr="00A52EF3">
        <w:rPr>
          <w:rFonts w:ascii="Times New Roman" w:hAnsi="Times New Roman" w:cs="Times New Roman"/>
          <w:sz w:val="24"/>
          <w:szCs w:val="24"/>
        </w:rPr>
        <w:t xml:space="preserve"> niskiej emisji, zmniejszeniu zapotrzebowania na energię przez termomode</w:t>
      </w:r>
      <w:r w:rsidR="0095588C" w:rsidRPr="00A52EF3">
        <w:rPr>
          <w:rFonts w:ascii="Times New Roman" w:hAnsi="Times New Roman" w:cs="Times New Roman"/>
          <w:sz w:val="24"/>
          <w:szCs w:val="24"/>
        </w:rPr>
        <w:t xml:space="preserve">rnizację budynków, modernizacji </w:t>
      </w:r>
      <w:r w:rsidRPr="00A52EF3">
        <w:rPr>
          <w:rFonts w:ascii="Times New Roman" w:hAnsi="Times New Roman" w:cs="Times New Roman"/>
          <w:sz w:val="24"/>
          <w:szCs w:val="24"/>
        </w:rPr>
        <w:t>źró</w:t>
      </w:r>
      <w:r w:rsidR="0095588C" w:rsidRPr="00A52EF3">
        <w:rPr>
          <w:rFonts w:ascii="Times New Roman" w:hAnsi="Times New Roman" w:cs="Times New Roman"/>
          <w:sz w:val="24"/>
          <w:szCs w:val="24"/>
        </w:rPr>
        <w:t>deł ciepła, a także popularyzacji</w:t>
      </w:r>
      <w:r w:rsidRPr="00A52EF3">
        <w:rPr>
          <w:rFonts w:ascii="Times New Roman" w:hAnsi="Times New Roman" w:cs="Times New Roman"/>
          <w:sz w:val="24"/>
          <w:szCs w:val="24"/>
        </w:rPr>
        <w:t xml:space="preserve"> ekologicznych źródeł energii i odnawialnych źródeł energii oraz modernizacji dróg.</w:t>
      </w:r>
    </w:p>
    <w:p w:rsidR="004A4AE0" w:rsidRPr="00A52EF3" w:rsidRDefault="004A4AE0" w:rsidP="00905E52">
      <w:pPr>
        <w:spacing w:line="360" w:lineRule="auto"/>
        <w:ind w:firstLine="708"/>
        <w:jc w:val="both"/>
        <w:rPr>
          <w:rFonts w:ascii="Times New Roman" w:hAnsi="Times New Roman" w:cs="Times New Roman"/>
          <w:sz w:val="24"/>
          <w:szCs w:val="24"/>
        </w:rPr>
      </w:pPr>
    </w:p>
    <w:p w:rsidR="0095588C" w:rsidRPr="00A52EF3" w:rsidRDefault="0095588C" w:rsidP="00F25FCA">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W powyższym Programie zaplanowano następujące zadania priorytetowe:</w:t>
      </w:r>
    </w:p>
    <w:p w:rsidR="0095588C" w:rsidRPr="00A52EF3" w:rsidRDefault="0095588C" w:rsidP="00F25FCA">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Rozszerzenie propagowania wykorzystywania energii ze źródeł odnawialnych (en. słoneczna, en. geotermalna połączona z wykorzystywaniem pomp ciepła, en. ze spalania biomasy) – umieszczenie stosownych informacji w wydziale budownictwa </w:t>
      </w:r>
      <w:r w:rsidRPr="00A52EF3">
        <w:rPr>
          <w:rFonts w:ascii="Times New Roman" w:hAnsi="Times New Roman" w:cs="Times New Roman"/>
          <w:sz w:val="24"/>
          <w:szCs w:val="24"/>
        </w:rPr>
        <w:br/>
        <w:t>i ochrony środowiska (współdziałanie ze Starostwem). Rozważenie możliwości zastosowania ulg podatkowych dla osób instalujących odpowiednie urządzenia, lub pozyskanie środków,</w:t>
      </w:r>
    </w:p>
    <w:p w:rsidR="0095588C" w:rsidRPr="00A52EF3" w:rsidRDefault="0095588C" w:rsidP="00F25FCA">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Propagowanie zagadnienia termomodernizacji budynków,</w:t>
      </w:r>
    </w:p>
    <w:p w:rsidR="0095588C" w:rsidRPr="00A52EF3" w:rsidRDefault="0095588C" w:rsidP="00F25FCA">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Propagowanie zamiany standardowych nośników energii (węgiel, miał, koks) na bardziej ekologiczne (gaz, olej, groszek). Propagowanie wykorzystania energii ze źródeł odnawialnych – edukacja ekologiczna,</w:t>
      </w:r>
    </w:p>
    <w:p w:rsidR="0095588C" w:rsidRPr="00A52EF3" w:rsidRDefault="0095588C" w:rsidP="00F25FCA">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Nawiązanie współpracy z administracją wojewódzką w zakresie kontroli i bieżącej aktualizacji jednostek gospodarczych z terenu gminy wprowadzających substancje zanieczyszczające do powietrza atmosferycznego,</w:t>
      </w:r>
    </w:p>
    <w:p w:rsidR="0095588C" w:rsidRPr="00A52EF3" w:rsidRDefault="0095588C" w:rsidP="00F25FCA">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Modernizacja dróg,</w:t>
      </w:r>
    </w:p>
    <w:p w:rsidR="00905E52" w:rsidRPr="00A52EF3" w:rsidRDefault="0095588C" w:rsidP="00905E52">
      <w:pPr>
        <w:pStyle w:val="Akapitzlist"/>
        <w:numPr>
          <w:ilvl w:val="0"/>
          <w:numId w:val="14"/>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Edukacja mieszkańców na temat szkodliwości spalania odpadów, w tym opakowań plastikowych, styropianu i z przerobu drewna, nasączonych klejami.</w:t>
      </w:r>
    </w:p>
    <w:p w:rsidR="0059498D" w:rsidRPr="00A52EF3" w:rsidRDefault="0059498D" w:rsidP="0059498D">
      <w:pPr>
        <w:spacing w:line="360" w:lineRule="auto"/>
        <w:jc w:val="both"/>
        <w:rPr>
          <w:rFonts w:ascii="Times New Roman" w:hAnsi="Times New Roman" w:cs="Times New Roman"/>
          <w:sz w:val="24"/>
          <w:szCs w:val="24"/>
        </w:rPr>
      </w:pPr>
    </w:p>
    <w:p w:rsidR="0059498D" w:rsidRPr="00A52EF3" w:rsidRDefault="0059498D" w:rsidP="0059498D">
      <w:pPr>
        <w:spacing w:line="360" w:lineRule="auto"/>
        <w:jc w:val="both"/>
        <w:rPr>
          <w:rFonts w:ascii="Times New Roman" w:hAnsi="Times New Roman" w:cs="Times New Roman"/>
          <w:sz w:val="24"/>
          <w:szCs w:val="24"/>
        </w:rPr>
      </w:pPr>
      <w:r w:rsidRPr="00A52EF3">
        <w:rPr>
          <w:rFonts w:ascii="Times New Roman" w:hAnsi="Times New Roman" w:cs="Times New Roman"/>
          <w:b/>
          <w:sz w:val="24"/>
          <w:szCs w:val="24"/>
        </w:rPr>
        <w:t>Projekt założeń do planu zaopatrzenia w ciepło, energię elektryczną i paliwa gazowe dla Brody na lata 2015-2030</w:t>
      </w:r>
    </w:p>
    <w:p w:rsidR="007D31BC"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3.1 Aspekty grzewcze </w:t>
      </w:r>
    </w:p>
    <w:p w:rsidR="0059498D"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Gmina Brody nie posiada własnej infrastruktury ciepłowniczej. Zaopatrzenie w energię cieplną realizowane jest z wykorzystaniem indywidualnych kotłowni w każdym z istniejących budynków. Mówiąc o zaopatrzeniu w energie cieplna w przypadku budynków użyteczności publicznej należy stwierdzić, iż w tych budynkach do celów grzewczych wykorzystuje się olej opałowy, węgiel oraz drewno.</w:t>
      </w:r>
    </w:p>
    <w:p w:rsidR="0059498D"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lastRenderedPageBreak/>
        <w:t>Ze względu na brak systemu dystrybucji ciepła z ciepłowni nie istnieje ryzyko wystąpienia braków w dystrybucji tego nośnika, czy też wystąpienia innych niedogodności dla mieszkańców czy też przedsiębiorców. Energia cieplna wytwarzana jest w Gminie z dostępnych nośników i leży w gestii właścicieli budynków.</w:t>
      </w:r>
    </w:p>
    <w:p w:rsidR="007D31BC"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3.2.1. Charakterystyka systemu elektroenergetycznego </w:t>
      </w:r>
    </w:p>
    <w:p w:rsidR="007D31BC"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Operatorem systemu dystrybucyjnego elektroenergetycznego na obszarze województwa lubuskiego jest spółka ENEA Operator powstała w grudniu 2006 roku jako spółka zależna ENEA S.A.</w:t>
      </w:r>
    </w:p>
    <w:p w:rsidR="007D31BC" w:rsidRPr="00A52EF3" w:rsidRDefault="007D31BC"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Działania przedsiębiorstwa skupiają się obecnie w następujących obszarach:  przyłączanie nowych odbiorców zapewniających wzrost sprzedaży usług dystrybucji,  zmniejszenie strat w dystrybucji energii, stosowanie profilaktyki sieciowej,  prowadzenie ruchu i utrzymanie sieci w odpowiednim stanie technicznym, poprawa jakości i pewności zasilania, poprawa bezpieczeństwa obsługi urządzeń elektroenergetycznych, rozwój systemów informatycznych i telekomunikacyjnych, a także środków transportu,  działania z zakresu zmniejszenia negatywnego wpływu wykorzystywanych urządzeń na środowisko</w:t>
      </w:r>
    </w:p>
    <w:p w:rsidR="005E5D19" w:rsidRPr="00A52EF3" w:rsidRDefault="005E5D1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3.1.2. Zespół Elektrowni Wodnych Dychów </w:t>
      </w:r>
    </w:p>
    <w:p w:rsidR="005E5D19" w:rsidRPr="00A52EF3" w:rsidRDefault="005E5D1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Administratorem ZEW Dychów w Dychowie jest PGE Energia Odnawialna S.A. Oddział w Dychowie. Zespół Elektrowni Wodnych Dychów tworzą obiekty na rzekach Bóbr, Nysa Łużycka i Kwisa. Dominującą rolę odgrywa tu elektrownia szczytowo-pompowa "Dychów". Poza tym jest to 16 małych elektrowni przepływowych. Ich łączna moc wynosi około 20 MW. Dychów wybudowano w latach 1934 - 1936. Jest elektrownią szczytowo-pompową typu derywacyjnego: spiętrzone wody rzeki Bóbr przez jaz w Krzywańcu są prowadzone kanałem (20,4 km) do zbiornika retencyjnego w Dychowie; jego całkowita pojemność wynosi 4 mln metrów sześciennych wody. </w:t>
      </w:r>
    </w:p>
    <w:p w:rsidR="005E5D19" w:rsidRPr="00A52EF3" w:rsidRDefault="005E5D1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EW Zasieki:</w:t>
      </w:r>
    </w:p>
    <w:p w:rsidR="005E5D19" w:rsidRPr="00A52EF3" w:rsidRDefault="005E5D19" w:rsidP="006B0B68">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 1) Moc zainstalowana 0,82 MW </w:t>
      </w:r>
    </w:p>
    <w:p w:rsidR="005E5D19" w:rsidRPr="00A52EF3" w:rsidRDefault="005E5D19" w:rsidP="006B0B68">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2) Przełyk instalowany 2 x 16 m3/s </w:t>
      </w:r>
    </w:p>
    <w:p w:rsidR="005E5D19" w:rsidRPr="00A52EF3" w:rsidRDefault="005E5D19" w:rsidP="006B0B68">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3) Spad nominalny 3,7m </w:t>
      </w:r>
    </w:p>
    <w:p w:rsidR="007D31BC" w:rsidRPr="00A52EF3" w:rsidRDefault="005E5D19" w:rsidP="006B0B68">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4) Średnia roczna produkcja ca 4 GWh</w:t>
      </w:r>
    </w:p>
    <w:p w:rsidR="00323C69" w:rsidRPr="00A52EF3" w:rsidRDefault="00323C69" w:rsidP="00323C69">
      <w:pPr>
        <w:spacing w:after="120" w:line="360" w:lineRule="auto"/>
        <w:jc w:val="both"/>
        <w:rPr>
          <w:rFonts w:ascii="Times New Roman" w:hAnsi="Times New Roman" w:cs="Times New Roman"/>
          <w:b/>
          <w:sz w:val="24"/>
          <w:szCs w:val="24"/>
        </w:rPr>
      </w:pPr>
      <w:r w:rsidRPr="00A52EF3">
        <w:rPr>
          <w:rFonts w:ascii="Times New Roman" w:hAnsi="Times New Roman" w:cs="Times New Roman"/>
          <w:b/>
          <w:sz w:val="24"/>
          <w:szCs w:val="24"/>
        </w:rPr>
        <w:lastRenderedPageBreak/>
        <w:t>Zmiana Studium Uwarunkowań i Kierunków Zagospodarowania Przestrzennego Gminy Brody</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7. Kierunki rozwoju infrastruktury. </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7.1. Zaopatrzenie w wodę. Problematyka zaopatrzenia w wodę użytkową, nie stanowi bariery dla zrównoważonego zagospodarowania i rozwoju obszaru gminy. Gmina jest zwodociągowana niemal w 100%. Gminny system wodociągowy dysponuje nadwyżkami wody, pozwalającymi na pokrycie obecnych i perspektywicznych potrzeb -zarówno ludności (budownictwa mieszkaniowego), jak i funkcjonującym i projektowanym obiektom usługowym, administracyjnym, socjalnym czy przemysłowym. W tej sytuacji podstawowym zadaniem dla gminy jest modernizacja i sukcesywna rozbudowa sieci wodociągowej oraz towarzyszących jej instalacji i urządzeń, bowiem całości obiektów – niezależnie od ich - 91 - funkcji - istniejących i przewidywanych na obszarze opracowania powinna być zaopatrywana wyłącznie z gminnej sieci wodociągowej. Studium postuluje podjęcie przez samorząd lokalny (np. poprzez wprowadzanie stosownych zapisów w miejscowych planach zagospodarowania przestrzennego) działań zmierzających do wykluczenia budowy indywidualnych ujęć wód podziemnych (w tym także studni kopanych) – tzn. ujęć nie związanych z funkcjonowaniem wodociągów gminnych, jako rozwiązania nie znajdującego uzasadnienia z punktu widzenia warunków geologicznych i hydrogeologicznych obszaru, a w szczególności ze względu na konieczną – ilościową i jakościową ochronę wód podziemnych.</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7.2. System odprowadzania i oczyszczania ścieków. </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Problematyka ochrony wód powierzchniowych przed zanieczyszczeniem, stanowi nadal największą barierę rozwoju gminy, dlatego też podstawowym zadaniem dla samorządu lokalnego jest systematyczna, konsekwentna modernizacja i rozbudowa sieci kanalizacji sanitarnej oraz towarzyszących jej urządzeń i instalacji, m.in. celem wyeliminowania zabudowanych powierzchni gminy, nieuzbrojonych w taki system, jak również w celu zlikwidowania niedostatków systemowych i technicznych sieci kanalizacyjnej.</w:t>
      </w:r>
    </w:p>
    <w:p w:rsidR="004A4AE0" w:rsidRPr="00A52EF3" w:rsidRDefault="004A4AE0" w:rsidP="00323C69">
      <w:pPr>
        <w:spacing w:after="120" w:line="360" w:lineRule="auto"/>
        <w:jc w:val="both"/>
        <w:rPr>
          <w:rFonts w:ascii="Times New Roman" w:hAnsi="Times New Roman" w:cs="Times New Roman"/>
          <w:sz w:val="24"/>
          <w:szCs w:val="24"/>
        </w:rPr>
      </w:pPr>
    </w:p>
    <w:p w:rsidR="004A4AE0" w:rsidRPr="00A52EF3" w:rsidRDefault="004A4AE0" w:rsidP="00323C69">
      <w:pPr>
        <w:spacing w:after="120" w:line="360" w:lineRule="auto"/>
        <w:jc w:val="both"/>
        <w:rPr>
          <w:rFonts w:ascii="Times New Roman" w:hAnsi="Times New Roman" w:cs="Times New Roman"/>
          <w:sz w:val="24"/>
          <w:szCs w:val="24"/>
        </w:rPr>
      </w:pPr>
    </w:p>
    <w:p w:rsidR="004A4AE0" w:rsidRPr="00A52EF3" w:rsidRDefault="004A4AE0" w:rsidP="00323C69">
      <w:pPr>
        <w:spacing w:after="120" w:line="360" w:lineRule="auto"/>
        <w:jc w:val="both"/>
        <w:rPr>
          <w:rFonts w:ascii="Times New Roman" w:hAnsi="Times New Roman" w:cs="Times New Roman"/>
          <w:sz w:val="24"/>
          <w:szCs w:val="24"/>
        </w:rPr>
      </w:pP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7.3. System odprowadzania wód deszczowych. </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Obok modernizacji i rozbudowy sieci kanalizacji sanitarnej równie istotnym zadaniem dla gminy jest tworzenie zorganizowanych systemów odprowadzania i - w miarę potrzeby - oczyszczania ścieków deszczowych.</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7.4. System zasilania w gaz. </w:t>
      </w:r>
    </w:p>
    <w:p w:rsidR="00AE756A"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System gazu przewodowego średniego ciśnienia obejmuje swoim zasięgiem prawie cała gminę tj. oprócz wsi Bór Kunowski. Docelowo zakłada się również gazyfikację tej wsi. Działania związane z funkcjonowaniem systemu gazowego średniego ciśnienia na terenie gminy będą związane przede wszystkim z pozyskiwaniem nowych odbiorców, ponieważ nadal liczba osób korzystających z gazu sieciowego jest niewspółmierna w stosunku do możliwości podłączenia sieci. Znaczna liczba odbiorców korzysta z gazu butlowego propan – butan.</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7.8. Ciepłownictwo</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Na terenie gminy nie występuje zorganizowana gospodarka energią cieplną. Zaopatrzenie w ciepło będzie nadal realizowane z lokalnych kotłowni i indywidualnych źródeł ciepła wbudowanych w poszczególnych odbiorców. W celu ograniczenia efektu „niskiej emisji” zakłada się, w miarę możliwości, modernizację istniejących źródeł ciepła oraz tworzenie nowych, w których jako czynnik grzewczy planuje się wykorzystanie:  konwencjonalnych paliw ekologicznych tj. gaz, olej opałowy o niskiej zawartości siarki, energia elektryczna, biomasa (zrębki drewna) i inne.  energii pozyskiwanej ze źródeł odnawialnych tj. energia wiatru, promieniowania słonecznego, wody, energia z przetwarzania biomasy.</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8. Obszary, na których rozmieszczone będą inwestycje celu publicznego.</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8.1. Inwestycje o znaczeniu lokalnym.</w:t>
      </w:r>
    </w:p>
    <w:p w:rsidR="00323C69" w:rsidRPr="00A52EF3" w:rsidRDefault="00323C69" w:rsidP="00323C69">
      <w:p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Obszarami, na których rozmieszczone będą inwestycje celu publicznego o znaczeniu lokalnym – w rozumieniu ustawy z dnia 21 sierpnia 1997 r. o gospodarce nieruchomościami - w skali gminy będą:  </w:t>
      </w:r>
    </w:p>
    <w:p w:rsidR="00323C69" w:rsidRPr="00A52EF3" w:rsidRDefault="00323C69" w:rsidP="00323C69">
      <w:pPr>
        <w:pStyle w:val="Akapitzlist"/>
        <w:numPr>
          <w:ilvl w:val="0"/>
          <w:numId w:val="88"/>
        </w:num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tereny związane z utrzymaniem oraz realizacją gminnych dróg publicznych - w tym tereny przeznaczone pod budowę, przebudowę, modernizację tych dróg oraz innych obiektów i urządzeń transportu publicznego, łączności publicznej i sygnalizacji;  </w:t>
      </w:r>
    </w:p>
    <w:p w:rsidR="00323C69" w:rsidRPr="00A52EF3" w:rsidRDefault="00323C69" w:rsidP="00323C69">
      <w:pPr>
        <w:pStyle w:val="Akapitzlist"/>
        <w:numPr>
          <w:ilvl w:val="0"/>
          <w:numId w:val="88"/>
        </w:num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tereny związane z utrzymaniem oraz realizacją obiektów, urządzeń i sieci: wodociągowych, kanalizacji sanitarnej, kanalizacji deszczowej, a także urządzeń i sieci elektroenergetycznych, telekomunikacyjnych, cieplnych i gazowych; </w:t>
      </w:r>
    </w:p>
    <w:p w:rsidR="00323C69" w:rsidRPr="00A52EF3" w:rsidRDefault="00323C69" w:rsidP="00323C69">
      <w:pPr>
        <w:pStyle w:val="Akapitzlist"/>
        <w:numPr>
          <w:ilvl w:val="0"/>
          <w:numId w:val="88"/>
        </w:numPr>
        <w:spacing w:after="120" w:line="360" w:lineRule="auto"/>
        <w:jc w:val="both"/>
        <w:rPr>
          <w:rFonts w:ascii="Times New Roman" w:hAnsi="Times New Roman" w:cs="Times New Roman"/>
          <w:sz w:val="24"/>
          <w:szCs w:val="24"/>
        </w:rPr>
      </w:pPr>
      <w:r w:rsidRPr="00A52EF3">
        <w:rPr>
          <w:rFonts w:ascii="Times New Roman" w:hAnsi="Times New Roman" w:cs="Times New Roman"/>
          <w:sz w:val="24"/>
          <w:szCs w:val="24"/>
        </w:rPr>
        <w:t>tereny związane z utrzymaniem oraz realizacją publicznych urządzeń służących do zaopatrzenia ludności w wodę, gromadzenia, przesyłania, oczyszczania i odprowadzania ścieków oraz odzysku i unieszkodliwiania odpadów, w tym ich składowania;</w:t>
      </w:r>
    </w:p>
    <w:p w:rsidR="0095588C" w:rsidRPr="00A52EF3" w:rsidRDefault="00703B39" w:rsidP="00F61B30">
      <w:pPr>
        <w:pStyle w:val="Nagwek1"/>
        <w:numPr>
          <w:ilvl w:val="0"/>
          <w:numId w:val="86"/>
        </w:numPr>
        <w:spacing w:line="360" w:lineRule="auto"/>
        <w:rPr>
          <w:rFonts w:ascii="Times New Roman" w:hAnsi="Times New Roman" w:cs="Times New Roman"/>
          <w:color w:val="auto"/>
        </w:rPr>
      </w:pPr>
      <w:bookmarkStart w:id="8" w:name="_Toc470763984"/>
      <w:r w:rsidRPr="00A52EF3">
        <w:rPr>
          <w:rFonts w:ascii="Times New Roman" w:hAnsi="Times New Roman" w:cs="Times New Roman"/>
          <w:color w:val="auto"/>
        </w:rPr>
        <w:t>Charakterystyka Gminy</w:t>
      </w:r>
      <w:bookmarkEnd w:id="8"/>
    </w:p>
    <w:p w:rsidR="00703B39" w:rsidRPr="00A52EF3" w:rsidRDefault="00703B39" w:rsidP="00F61B30">
      <w:pPr>
        <w:pStyle w:val="Nagwek2"/>
        <w:numPr>
          <w:ilvl w:val="1"/>
          <w:numId w:val="86"/>
        </w:numPr>
        <w:spacing w:after="240" w:line="360" w:lineRule="auto"/>
        <w:rPr>
          <w:rFonts w:ascii="Times New Roman" w:hAnsi="Times New Roman" w:cs="Times New Roman"/>
          <w:color w:val="auto"/>
        </w:rPr>
      </w:pPr>
      <w:bookmarkStart w:id="9" w:name="_Toc470763985"/>
      <w:r w:rsidRPr="00A52EF3">
        <w:rPr>
          <w:rFonts w:ascii="Times New Roman" w:hAnsi="Times New Roman" w:cs="Times New Roman"/>
          <w:color w:val="auto"/>
        </w:rPr>
        <w:t>Położenie</w:t>
      </w:r>
      <w:bookmarkEnd w:id="9"/>
    </w:p>
    <w:p w:rsidR="00703B39" w:rsidRPr="00A52EF3" w:rsidRDefault="00703B39"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Gmina Brody położona jest w północno – wschodniej części województwa świętokrzyskiego, w powiecie starachowickim. Na jej obszarze stykają się trzy mezoregiony fizyczno-geograficzne: Wzgórza Kunowskie, Pogórze Iłżeckie i Wyżyna Opatowska. Przez teren gminy przepływa rzeka Kamienna, stanowiąca lewobrzeżny dopływ Wisły. </w:t>
      </w:r>
    </w:p>
    <w:p w:rsidR="00703B39" w:rsidRPr="00A52EF3" w:rsidRDefault="00703B39" w:rsidP="00F25FCA">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Gmina Brody sąsiaduje z:</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Iłża (od północy),</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Mirzec (od północnego – zachodu),</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Rzeczniów (od północnego – wschodu),</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Sienno  i gminą Kunów (od wschodu),</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Pawłów (od południa),</w:t>
      </w:r>
    </w:p>
    <w:p w:rsidR="00703B39" w:rsidRPr="00A52EF3" w:rsidRDefault="00703B39" w:rsidP="00F25FCA">
      <w:pPr>
        <w:pStyle w:val="Akapitzlist"/>
        <w:numPr>
          <w:ilvl w:val="0"/>
          <w:numId w:val="1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gminą Wąchock oraz miastem Starachowice (od zachodu).</w:t>
      </w:r>
    </w:p>
    <w:p w:rsidR="00703B39" w:rsidRPr="00A52EF3" w:rsidRDefault="00703B39" w:rsidP="00F25FCA">
      <w:pPr>
        <w:spacing w:line="360" w:lineRule="auto"/>
        <w:ind w:firstLine="360"/>
        <w:jc w:val="both"/>
        <w:rPr>
          <w:rFonts w:ascii="Times New Roman" w:hAnsi="Times New Roman" w:cs="Times New Roman"/>
          <w:sz w:val="24"/>
          <w:szCs w:val="24"/>
        </w:rPr>
      </w:pPr>
    </w:p>
    <w:p w:rsidR="004A4AE0" w:rsidRPr="00A52EF3" w:rsidRDefault="004A4AE0" w:rsidP="00F25FCA">
      <w:pPr>
        <w:spacing w:line="360" w:lineRule="auto"/>
        <w:ind w:firstLine="708"/>
        <w:jc w:val="both"/>
        <w:rPr>
          <w:rFonts w:ascii="Times New Roman" w:hAnsi="Times New Roman" w:cs="Times New Roman"/>
          <w:sz w:val="24"/>
          <w:szCs w:val="24"/>
        </w:rPr>
      </w:pPr>
    </w:p>
    <w:p w:rsidR="00703B39" w:rsidRPr="00A52EF3" w:rsidRDefault="00703B39"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Gmina Brody ma charakter gminy wiejskiej i zajmuje powierzchnię 161,25 km². Jej obszar podzielony jest na 16 sołectw: </w:t>
      </w:r>
      <w:r w:rsidRPr="00A52EF3">
        <w:rPr>
          <w:rFonts w:ascii="Times New Roman" w:hAnsi="Times New Roman" w:cs="Times New Roman"/>
          <w:sz w:val="24"/>
          <w:szCs w:val="24"/>
          <w:lang w:eastAsia="pl-PL"/>
        </w:rPr>
        <w:t>Adamów, Brody, Bór Kunowski,</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Budy Brodzkie,</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Dziurów,</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Jabłonna,</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Krynki,</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Kuczów,</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Lipie,</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Styków,</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Lubienia,</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Staw Kunowski,</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Młynek,</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Przymiarki,</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Rudnik,</w:t>
      </w:r>
      <w:r w:rsidRPr="00A52EF3">
        <w:rPr>
          <w:rFonts w:ascii="Times New Roman" w:hAnsi="Times New Roman" w:cs="Times New Roman"/>
          <w:sz w:val="24"/>
          <w:szCs w:val="24"/>
        </w:rPr>
        <w:t xml:space="preserve"> </w:t>
      </w:r>
      <w:r w:rsidRPr="00A52EF3">
        <w:rPr>
          <w:rFonts w:ascii="Times New Roman" w:hAnsi="Times New Roman" w:cs="Times New Roman"/>
          <w:sz w:val="24"/>
          <w:szCs w:val="24"/>
          <w:lang w:eastAsia="pl-PL"/>
        </w:rPr>
        <w:t>Ruda.</w:t>
      </w:r>
    </w:p>
    <w:p w:rsidR="00703B39" w:rsidRPr="00A52EF3" w:rsidRDefault="00703B39"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W odległości ok. 50 km od Brodów położone są miasta Kielce (w kierunku SW) </w:t>
      </w:r>
      <w:r w:rsidRPr="00A52EF3">
        <w:rPr>
          <w:rFonts w:ascii="Times New Roman" w:hAnsi="Times New Roman" w:cs="Times New Roman"/>
          <w:sz w:val="24"/>
          <w:szCs w:val="24"/>
        </w:rPr>
        <w:br/>
        <w:t>i Radom (w kierunku N), natomiast w odległości ok. 10-15 km - Starachowice (w kierunku W) i Ostrowiec Świętokrzyski (w kierunku SE).</w:t>
      </w:r>
    </w:p>
    <w:p w:rsidR="00703B39" w:rsidRPr="00A52EF3" w:rsidRDefault="00703B39" w:rsidP="00F25FCA">
      <w:pPr>
        <w:keepNext/>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4BBFB05D" wp14:editId="13DDB1E9">
            <wp:extent cx="4022877" cy="3430000"/>
            <wp:effectExtent l="0" t="0" r="0" b="0"/>
            <wp:docPr id="2" name="Obraz 1" descr="mapka_swietokrzyskie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_swietokrzyskiego.gif"/>
                    <pic:cNvPicPr/>
                  </pic:nvPicPr>
                  <pic:blipFill>
                    <a:blip r:embed="rId15" cstate="print"/>
                    <a:stretch>
                      <a:fillRect/>
                    </a:stretch>
                  </pic:blipFill>
                  <pic:spPr>
                    <a:xfrm>
                      <a:off x="0" y="0"/>
                      <a:ext cx="4036169" cy="3441333"/>
                    </a:xfrm>
                    <a:prstGeom prst="rect">
                      <a:avLst/>
                    </a:prstGeom>
                  </pic:spPr>
                </pic:pic>
              </a:graphicData>
            </a:graphic>
          </wp:inline>
        </w:drawing>
      </w:r>
    </w:p>
    <w:p w:rsidR="00703B39" w:rsidRPr="00A52EF3" w:rsidRDefault="00703B39" w:rsidP="00F25FCA">
      <w:pPr>
        <w:pStyle w:val="Legenda"/>
        <w:spacing w:line="360" w:lineRule="auto"/>
        <w:jc w:val="center"/>
        <w:rPr>
          <w:rFonts w:ascii="Times New Roman" w:hAnsi="Times New Roman" w:cs="Times New Roman"/>
          <w:color w:val="auto"/>
        </w:rPr>
      </w:pPr>
      <w:r w:rsidRPr="00A52EF3">
        <w:rPr>
          <w:rFonts w:ascii="Times New Roman" w:hAnsi="Times New Roman" w:cs="Times New Roman"/>
          <w:color w:val="auto"/>
        </w:rPr>
        <w:t xml:space="preserve">Rysunek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Rysunek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1</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Położenie gminy Brody na t</w:t>
      </w:r>
      <w:r w:rsidR="000F491C" w:rsidRPr="00A52EF3">
        <w:rPr>
          <w:rFonts w:ascii="Times New Roman" w:hAnsi="Times New Roman" w:cs="Times New Roman"/>
          <w:color w:val="auto"/>
        </w:rPr>
        <w:t>le województwa świętokrzyskiego</w:t>
      </w:r>
    </w:p>
    <w:p w:rsidR="00703B39" w:rsidRPr="00A52EF3" w:rsidRDefault="00703B39" w:rsidP="00F25FCA">
      <w:pPr>
        <w:spacing w:line="360" w:lineRule="auto"/>
        <w:rPr>
          <w:rFonts w:ascii="Times New Roman" w:hAnsi="Times New Roman" w:cs="Times New Roman"/>
        </w:rPr>
      </w:pPr>
    </w:p>
    <w:p w:rsidR="00703B39" w:rsidRPr="00A52EF3" w:rsidRDefault="00703B39" w:rsidP="00F25FCA">
      <w:pPr>
        <w:keepNext/>
        <w:spacing w:line="360" w:lineRule="auto"/>
        <w:jc w:val="center"/>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3AFEEE1E" wp14:editId="6101D0C2">
            <wp:extent cx="5508171" cy="2872639"/>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513387" cy="2875359"/>
                    </a:xfrm>
                    <a:prstGeom prst="rect">
                      <a:avLst/>
                    </a:prstGeom>
                    <a:noFill/>
                    <a:ln w="9525">
                      <a:noFill/>
                      <a:miter lim="800000"/>
                      <a:headEnd/>
                      <a:tailEnd/>
                    </a:ln>
                  </pic:spPr>
                </pic:pic>
              </a:graphicData>
            </a:graphic>
          </wp:inline>
        </w:drawing>
      </w:r>
    </w:p>
    <w:p w:rsidR="00A70342" w:rsidRPr="00A52EF3" w:rsidRDefault="00A70342" w:rsidP="00F25FCA">
      <w:pPr>
        <w:pStyle w:val="Legenda"/>
        <w:spacing w:line="360" w:lineRule="auto"/>
        <w:jc w:val="center"/>
        <w:rPr>
          <w:rFonts w:ascii="Times New Roman" w:hAnsi="Times New Roman" w:cs="Times New Roman"/>
          <w:color w:val="auto"/>
        </w:rPr>
      </w:pPr>
    </w:p>
    <w:p w:rsidR="00A70342" w:rsidRPr="00A52EF3" w:rsidRDefault="00703B39" w:rsidP="00F25FCA">
      <w:pPr>
        <w:pStyle w:val="Legenda"/>
        <w:spacing w:line="360" w:lineRule="auto"/>
        <w:jc w:val="center"/>
        <w:rPr>
          <w:rFonts w:ascii="Times New Roman" w:hAnsi="Times New Roman" w:cs="Times New Roman"/>
          <w:color w:val="auto"/>
        </w:rPr>
      </w:pPr>
      <w:r w:rsidRPr="00A52EF3">
        <w:rPr>
          <w:rFonts w:ascii="Times New Roman" w:hAnsi="Times New Roman" w:cs="Times New Roman"/>
          <w:color w:val="auto"/>
        </w:rPr>
        <w:t xml:space="preserve">Rysunek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Rysunek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2</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Lokalizacja gminy Brody na tle sąsiednich gmin</w:t>
      </w:r>
    </w:p>
    <w:p w:rsidR="00703B39" w:rsidRPr="00A52EF3" w:rsidRDefault="00A70342" w:rsidP="00F61B30">
      <w:pPr>
        <w:pStyle w:val="Nagwek2"/>
        <w:numPr>
          <w:ilvl w:val="1"/>
          <w:numId w:val="86"/>
        </w:numPr>
        <w:spacing w:after="240" w:line="360" w:lineRule="auto"/>
        <w:rPr>
          <w:rFonts w:ascii="Times New Roman" w:hAnsi="Times New Roman" w:cs="Times New Roman"/>
          <w:color w:val="auto"/>
        </w:rPr>
      </w:pPr>
      <w:bookmarkStart w:id="10" w:name="_Toc470763986"/>
      <w:r w:rsidRPr="00A52EF3">
        <w:rPr>
          <w:rFonts w:ascii="Times New Roman" w:hAnsi="Times New Roman" w:cs="Times New Roman"/>
          <w:color w:val="auto"/>
        </w:rPr>
        <w:t>Rys historyczny</w:t>
      </w:r>
      <w:bookmarkEnd w:id="10"/>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Od najdawniejszych czasów Dolina Kamiennej stanowiła dogodne miejsce do zakładania osad ludzkich. Na wielką skalę produkowano tu żelazo cenione w cesarstwie rzymskim. Pierwsza wzmianka historyczna dotycząca tych okolic pochodzi już z roku 1094. Król Władysław Herman przekazał aktem darowizny tereny, m. in. obecnej gminy Brody na własność biskupów krakowskich. Na początku XII w. król Bolesław Krzywousty uposażył benedyktynów na Św. Krzyżu przekazując im okolice Dziurowa i Kuczowa. </w:t>
      </w:r>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Okres średniowiecza w regionie zaznaczył się intensywnym rozwojem hutnictwa. Powstawały tu liczne kopalnie rudy i kuźnice (wieś Brody, Krynki, Stara Ruda, Kuczów), </w:t>
      </w:r>
      <w:r w:rsidRPr="00A52EF3">
        <w:rPr>
          <w:rFonts w:ascii="Times New Roman" w:eastAsia="Calibri" w:hAnsi="Times New Roman" w:cs="Times New Roman"/>
          <w:sz w:val="24"/>
        </w:rPr>
        <w:br/>
        <w:t xml:space="preserve">w których wytwarzane były różnorakie wyroby żelazne. </w:t>
      </w:r>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Bogactwa naturalne terenów obecnej gminy Brody sprzyjały rozwojowi górnictwa, hutnictwa i rzemiosła. Dla miejscowej ludności oznaczało to poszerzenie możliwości gospodarczych o udział w eksploatacji lasów (kurzenie węgla drzewnego), kopanie i transport rudy, prace przy dymarkach, fryszerkach i kuźnicach. Prace te wykonywali ludzie wolni. Właściciele terenu (duchowni) nie prowadzili sami działalności lecz wydzierżawiali te tereny tak zwanym kuźnikom, którzy organizowali przedsiębiorstwa hutnicze. </w:t>
      </w:r>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Układ przestrzenny wsi ukształtował się już we wczesnym średniowieczu i zasadniczo nie ulegał zmianie w czasach nowożytnych. Rozwój osadnictwa postępował przez rozwój przestrzenny istniejących miejscowości, poprzez powstawanie przysiółków czy kolonii. Również rozwój demograficzny był powolny, wynikał tylko z przyrostu naturalnego miejscowej ludności.</w:t>
      </w:r>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Wyraźne ożywienie gospodarcze terenów obecnej Gminy Brody, nastąpiło za przyczyną ks. Stanisława Staszica i jego planu nowoczesnego kombinatu metalurgicznego, zlokalizowanego wzdłuż rzeki Kamiennej. Ważnym jego ogniwem była wybudowana w 1834 roku pudlingarnia i walcownia w Brodach, która przerabiała surówkę z wielkiego pieca </w:t>
      </w:r>
      <w:r w:rsidRPr="00A52EF3">
        <w:rPr>
          <w:rFonts w:ascii="Times New Roman" w:eastAsia="Calibri" w:hAnsi="Times New Roman" w:cs="Times New Roman"/>
          <w:sz w:val="24"/>
        </w:rPr>
        <w:br/>
        <w:t xml:space="preserve">w Starachowicach, w kowalne żelazo. Wszystkie urządzenia napędzane były dzięki energii spadku wód spiętrzonych przez tamę. Część przelewu i budynek administracji zakładu, można oglądać do dziś. Okres prosperity nie trwał jednak długo. W 1903 r. potężna powódź zniszczyła tamę, część przelewu w Brodach i wszystkie zakłady przemysłowe zbudowane </w:t>
      </w:r>
      <w:r w:rsidRPr="00A52EF3">
        <w:rPr>
          <w:rFonts w:ascii="Times New Roman" w:eastAsia="Calibri" w:hAnsi="Times New Roman" w:cs="Times New Roman"/>
          <w:sz w:val="24"/>
        </w:rPr>
        <w:br/>
        <w:t>w Dolinie Kamiennej.</w:t>
      </w:r>
    </w:p>
    <w:p w:rsidR="00A70342" w:rsidRPr="00A52EF3" w:rsidRDefault="00A70342" w:rsidP="004A4AE0">
      <w:pPr>
        <w:pStyle w:val="Nagwek2"/>
        <w:numPr>
          <w:ilvl w:val="1"/>
          <w:numId w:val="86"/>
        </w:numPr>
        <w:spacing w:after="120" w:line="360" w:lineRule="auto"/>
        <w:ind w:left="1077"/>
        <w:rPr>
          <w:rFonts w:ascii="Times New Roman" w:eastAsia="Calibri" w:hAnsi="Times New Roman" w:cs="Times New Roman"/>
          <w:color w:val="auto"/>
        </w:rPr>
      </w:pPr>
      <w:bookmarkStart w:id="11" w:name="_Toc470763987"/>
      <w:r w:rsidRPr="00A52EF3">
        <w:rPr>
          <w:rFonts w:ascii="Times New Roman" w:eastAsia="Calibri" w:hAnsi="Times New Roman" w:cs="Times New Roman"/>
          <w:color w:val="auto"/>
        </w:rPr>
        <w:t>Formy użytkowania terenu</w:t>
      </w:r>
      <w:bookmarkEnd w:id="11"/>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Krajobraz gminy zdominowany jest przez duże kompleksy leśne, które stanowią pozostałości po pierwotnych, wielkich borach. Lasy i grunty leśne stanowią ok. 72 % całkowitej powierzchni gminy  (11 6</w:t>
      </w:r>
      <w:r w:rsidR="00DB1FA4" w:rsidRPr="00A52EF3">
        <w:rPr>
          <w:rFonts w:ascii="Times New Roman" w:eastAsia="Calibri" w:hAnsi="Times New Roman" w:cs="Times New Roman"/>
          <w:sz w:val="24"/>
        </w:rPr>
        <w:t>19</w:t>
      </w:r>
      <w:r w:rsidRPr="00A52EF3">
        <w:rPr>
          <w:rFonts w:ascii="Times New Roman" w:eastAsia="Calibri" w:hAnsi="Times New Roman" w:cs="Times New Roman"/>
          <w:sz w:val="24"/>
        </w:rPr>
        <w:t xml:space="preserve"> ha). Znaczne obszary porasta bor świeży mieszany, las mieszany i las mieszany wyżynny. Spotkać tu można takie drzewostany jak: sosna, jodła, świerk, dąb, jesion, grab, olsza, buk. </w:t>
      </w:r>
    </w:p>
    <w:p w:rsidR="00A70342" w:rsidRPr="00A52EF3" w:rsidRDefault="00A70342"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Użytki rolne zajmują powierzchnię 3 </w:t>
      </w:r>
      <w:r w:rsidR="00DB1FA4" w:rsidRPr="00A52EF3">
        <w:rPr>
          <w:rFonts w:ascii="Times New Roman" w:eastAsia="Calibri" w:hAnsi="Times New Roman" w:cs="Times New Roman"/>
          <w:sz w:val="24"/>
        </w:rPr>
        <w:t>689</w:t>
      </w:r>
      <w:r w:rsidRPr="00A52EF3">
        <w:rPr>
          <w:rFonts w:ascii="Times New Roman" w:eastAsia="Calibri" w:hAnsi="Times New Roman" w:cs="Times New Roman"/>
          <w:sz w:val="24"/>
        </w:rPr>
        <w:t xml:space="preserve"> ha, co stanowi ok. 23% obszaru gminy. Dominują tu gleby słabe, a gospodarstwa są  znacznie rozdrobnione (ich wielkość nie przekracza średnio 2 ha). Głównymi uprawami na terenie gminy są zboża i ziemniaki. </w:t>
      </w:r>
    </w:p>
    <w:p w:rsidR="004845FC" w:rsidRPr="00A52EF3" w:rsidRDefault="00A70342" w:rsidP="008F14EE">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Pozostałe grunty stanowią ok. 5 </w:t>
      </w:r>
      <w:r w:rsidR="008F14EE" w:rsidRPr="00A52EF3">
        <w:rPr>
          <w:rFonts w:ascii="Times New Roman" w:eastAsia="Calibri" w:hAnsi="Times New Roman" w:cs="Times New Roman"/>
          <w:sz w:val="24"/>
        </w:rPr>
        <w:t>% całkowitej powierzchni gminy.</w:t>
      </w:r>
    </w:p>
    <w:p w:rsidR="008F14EE" w:rsidRPr="00A52EF3" w:rsidRDefault="008F14EE" w:rsidP="008F14EE">
      <w:pPr>
        <w:spacing w:after="0" w:line="360" w:lineRule="auto"/>
        <w:ind w:firstLine="708"/>
        <w:jc w:val="both"/>
        <w:rPr>
          <w:rFonts w:ascii="Times New Roman" w:eastAsia="Calibri" w:hAnsi="Times New Roman" w:cs="Times New Roman"/>
          <w:sz w:val="12"/>
        </w:rPr>
      </w:pPr>
    </w:p>
    <w:tbl>
      <w:tblPr>
        <w:tblStyle w:val="Tabela-Siatka"/>
        <w:tblW w:w="0" w:type="auto"/>
        <w:tblCellMar>
          <w:left w:w="103" w:type="dxa"/>
        </w:tblCellMar>
        <w:tblLook w:val="04A0" w:firstRow="1" w:lastRow="0" w:firstColumn="1" w:lastColumn="0" w:noHBand="0" w:noVBand="1"/>
      </w:tblPr>
      <w:tblGrid>
        <w:gridCol w:w="7049"/>
        <w:gridCol w:w="992"/>
        <w:gridCol w:w="1242"/>
      </w:tblGrid>
      <w:tr w:rsidR="004845FC" w:rsidRPr="00A52EF3" w:rsidTr="00D16B80">
        <w:tc>
          <w:tcPr>
            <w:tcW w:w="0" w:type="auto"/>
            <w:gridSpan w:val="3"/>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Powierzchnia geodezyjna według kierunków wykorzystania gruntów</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powierzchnia ogółem</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D16B8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16127</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powierzchnia lądowa</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D16B8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15868</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grunty pod wodami razem</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4845FC" w:rsidRPr="00A52EF3" w:rsidRDefault="00D16B8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259</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pod wodami - powierzchniowymi płynącymi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D16B8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258</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lastRenderedPageBreak/>
              <w:t>grunty pod wodami – powierzchniowymi stojącymi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D16B8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użytki rolne razem</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b/>
                <w:sz w:val="24"/>
                <w:szCs w:val="24"/>
                <w:highlight w:val="yellow"/>
              </w:rPr>
            </w:pPr>
            <w:r w:rsidRPr="00A52EF3">
              <w:rPr>
                <w:rFonts w:ascii="Times New Roman" w:hAnsi="Times New Roman" w:cs="Times New Roman"/>
                <w:b/>
                <w:sz w:val="24"/>
                <w:szCs w:val="24"/>
              </w:rPr>
              <w:t>3689</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grunty orne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2518</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sady</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36</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łąki trwałe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645</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pastwiska trwałe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259</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grunty rolne zabudowane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203</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grunty pod stawami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użytki rolne - grunty pod rowami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27</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grunty leśne oraz zadrzewione i zakrzewione razem</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11619</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leśne oraz zadrzewione i zakrzewione - lasy</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11532</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leśne oraz zadrzewione i zakrzewione – grunty zadrzewione i zakrzewione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87</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grunty zabudowane i zurbanizowane razem</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503</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tereny mieszkaniowe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131</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tereny przemysłowe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24</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tereny inne zabudowane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865D2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33</w:t>
            </w:r>
          </w:p>
        </w:tc>
      </w:tr>
      <w:tr w:rsidR="00110D30" w:rsidRPr="00A52EF3" w:rsidTr="004A4AE0">
        <w:tc>
          <w:tcPr>
            <w:tcW w:w="7049"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grunty zabudowane i zurbanizowane – tereny </w:t>
            </w:r>
            <w:r w:rsidR="00865D20" w:rsidRPr="00A52EF3">
              <w:rPr>
                <w:rFonts w:ascii="Times New Roman" w:hAnsi="Times New Roman" w:cs="Times New Roman"/>
                <w:sz w:val="24"/>
                <w:szCs w:val="24"/>
              </w:rPr>
              <w:t>zurbanizowane niezabudowane</w:t>
            </w:r>
          </w:p>
        </w:tc>
        <w:tc>
          <w:tcPr>
            <w:tcW w:w="992" w:type="dxa"/>
            <w:shd w:val="clear" w:color="auto" w:fill="auto"/>
            <w:tcMar>
              <w:left w:w="103" w:type="dxa"/>
            </w:tcMar>
            <w:vAlign w:val="center"/>
          </w:tcPr>
          <w:p w:rsidR="00110D30" w:rsidRPr="00A52EF3" w:rsidRDefault="00865D2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110D30" w:rsidRPr="00A52EF3" w:rsidRDefault="00865D2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grunty zabudowane i zurbanizowane - tereny rekreacji </w:t>
            </w:r>
            <w:r w:rsidRPr="00A52EF3">
              <w:rPr>
                <w:rFonts w:ascii="Times New Roman" w:hAnsi="Times New Roman" w:cs="Times New Roman"/>
                <w:sz w:val="24"/>
                <w:szCs w:val="24"/>
              </w:rPr>
              <w:br/>
              <w:t>i wypoczynku</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6</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w:t>
            </w:r>
            <w:r w:rsidR="00D16B80" w:rsidRPr="00A52EF3">
              <w:rPr>
                <w:rFonts w:ascii="Times New Roman" w:hAnsi="Times New Roman" w:cs="Times New Roman"/>
                <w:sz w:val="24"/>
                <w:szCs w:val="24"/>
              </w:rPr>
              <w:t xml:space="preserve">dowane i zurbanizowane – tereny </w:t>
            </w:r>
            <w:r w:rsidRPr="00A52EF3">
              <w:rPr>
                <w:rFonts w:ascii="Times New Roman" w:hAnsi="Times New Roman" w:cs="Times New Roman"/>
                <w:sz w:val="24"/>
                <w:szCs w:val="24"/>
              </w:rPr>
              <w:t>komunikacyjne - drogi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177</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tereny komunikacyjne - kolejowe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101</w:t>
            </w:r>
          </w:p>
        </w:tc>
      </w:tr>
      <w:tr w:rsidR="00110D30" w:rsidRPr="00A52EF3" w:rsidTr="004A4AE0">
        <w:tc>
          <w:tcPr>
            <w:tcW w:w="7049"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tereny komunikacyjne - inne</w:t>
            </w:r>
          </w:p>
        </w:tc>
        <w:tc>
          <w:tcPr>
            <w:tcW w:w="992"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20</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grunty zabudowane i zurbanizowane - użytki kopalne</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ha</w:t>
            </w:r>
          </w:p>
        </w:tc>
        <w:tc>
          <w:tcPr>
            <w:tcW w:w="1242" w:type="dxa"/>
            <w:shd w:val="clear" w:color="auto" w:fill="auto"/>
            <w:tcMar>
              <w:left w:w="103" w:type="dxa"/>
            </w:tcMar>
            <w:vAlign w:val="center"/>
          </w:tcPr>
          <w:p w:rsidR="004845FC" w:rsidRPr="00A52EF3" w:rsidRDefault="00110D30" w:rsidP="00F25FCA">
            <w:pPr>
              <w:keepNext/>
              <w:spacing w:line="360" w:lineRule="auto"/>
              <w:jc w:val="center"/>
              <w:rPr>
                <w:rFonts w:ascii="Times New Roman" w:hAnsi="Times New Roman" w:cs="Times New Roman"/>
                <w:sz w:val="24"/>
                <w:szCs w:val="24"/>
                <w:highlight w:val="yellow"/>
              </w:rPr>
            </w:pPr>
            <w:r w:rsidRPr="00A52EF3">
              <w:rPr>
                <w:rFonts w:ascii="Times New Roman" w:hAnsi="Times New Roman" w:cs="Times New Roman"/>
                <w:sz w:val="24"/>
                <w:szCs w:val="24"/>
              </w:rPr>
              <w:t>10</w:t>
            </w:r>
          </w:p>
        </w:tc>
      </w:tr>
      <w:tr w:rsidR="004845FC" w:rsidRPr="00A52EF3" w:rsidTr="004A4AE0">
        <w:tc>
          <w:tcPr>
            <w:tcW w:w="7049"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nieużytki</w:t>
            </w:r>
          </w:p>
        </w:tc>
        <w:tc>
          <w:tcPr>
            <w:tcW w:w="992" w:type="dxa"/>
            <w:shd w:val="clear" w:color="auto" w:fill="auto"/>
            <w:tcMar>
              <w:left w:w="103" w:type="dxa"/>
            </w:tcMar>
            <w:vAlign w:val="center"/>
          </w:tcPr>
          <w:p w:rsidR="004845FC" w:rsidRPr="00A52EF3" w:rsidRDefault="004845F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4845FC" w:rsidRPr="00A52EF3" w:rsidRDefault="00110D30" w:rsidP="00F25FCA">
            <w:pPr>
              <w:keepNext/>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47</w:t>
            </w:r>
          </w:p>
        </w:tc>
      </w:tr>
      <w:tr w:rsidR="00110D30" w:rsidRPr="00A52EF3" w:rsidTr="004A4AE0">
        <w:tc>
          <w:tcPr>
            <w:tcW w:w="7049"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tereny różne</w:t>
            </w:r>
          </w:p>
        </w:tc>
        <w:tc>
          <w:tcPr>
            <w:tcW w:w="992" w:type="dxa"/>
            <w:shd w:val="clear" w:color="auto" w:fill="auto"/>
            <w:tcMar>
              <w:left w:w="103" w:type="dxa"/>
            </w:tcMar>
            <w:vAlign w:val="center"/>
          </w:tcPr>
          <w:p w:rsidR="00110D30" w:rsidRPr="00A52EF3" w:rsidRDefault="00110D3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ha</w:t>
            </w:r>
          </w:p>
        </w:tc>
        <w:tc>
          <w:tcPr>
            <w:tcW w:w="1242" w:type="dxa"/>
            <w:shd w:val="clear" w:color="auto" w:fill="auto"/>
            <w:tcMar>
              <w:left w:w="103" w:type="dxa"/>
            </w:tcMar>
            <w:vAlign w:val="center"/>
          </w:tcPr>
          <w:p w:rsidR="00110D30" w:rsidRPr="00A52EF3" w:rsidRDefault="00110D30" w:rsidP="00F25FCA">
            <w:pPr>
              <w:keepNext/>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10</w:t>
            </w:r>
          </w:p>
        </w:tc>
      </w:tr>
    </w:tbl>
    <w:p w:rsidR="0049277D" w:rsidRPr="00A52EF3" w:rsidRDefault="00DB1FA4" w:rsidP="00C93BFE">
      <w:pPr>
        <w:pStyle w:val="Legenda"/>
        <w:spacing w:line="360" w:lineRule="auto"/>
        <w:rPr>
          <w:rFonts w:ascii="Times New Roman"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1</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xml:space="preserve">. </w:t>
      </w:r>
      <w:r w:rsidR="00C93BFE" w:rsidRPr="00A52EF3">
        <w:rPr>
          <w:rFonts w:ascii="Times New Roman" w:hAnsi="Times New Roman" w:cs="Times New Roman"/>
          <w:color w:val="auto"/>
        </w:rPr>
        <w:t>Powierzchnia geodezyjna według kierunków wykorzystania gruntów (dane: BDL GUS,</w:t>
      </w:r>
      <w:r w:rsidRPr="00A52EF3">
        <w:rPr>
          <w:rFonts w:ascii="Times New Roman" w:hAnsi="Times New Roman" w:cs="Times New Roman"/>
          <w:color w:val="auto"/>
        </w:rPr>
        <w:t xml:space="preserve"> dane z 2014roku</w:t>
      </w:r>
      <w:r w:rsidR="00C93BFE" w:rsidRPr="00A52EF3">
        <w:rPr>
          <w:rFonts w:ascii="Times New Roman" w:hAnsi="Times New Roman" w:cs="Times New Roman"/>
          <w:color w:val="auto"/>
        </w:rPr>
        <w:t>)</w:t>
      </w:r>
    </w:p>
    <w:p w:rsidR="00C93BFE" w:rsidRPr="00A52EF3" w:rsidRDefault="00C93BFE" w:rsidP="00C93BFE">
      <w:pPr>
        <w:rPr>
          <w:rFonts w:ascii="Times New Roman" w:hAnsi="Times New Roman" w:cs="Times New Roman"/>
        </w:rPr>
      </w:pPr>
    </w:p>
    <w:p w:rsidR="0049277D" w:rsidRPr="00A52EF3" w:rsidRDefault="0049277D" w:rsidP="00F61B30">
      <w:pPr>
        <w:pStyle w:val="Nagwek2"/>
        <w:numPr>
          <w:ilvl w:val="1"/>
          <w:numId w:val="86"/>
        </w:numPr>
        <w:spacing w:after="240" w:line="360" w:lineRule="auto"/>
        <w:rPr>
          <w:rFonts w:ascii="Times New Roman" w:eastAsia="Calibri" w:hAnsi="Times New Roman" w:cs="Times New Roman"/>
          <w:color w:val="auto"/>
        </w:rPr>
      </w:pPr>
      <w:bookmarkStart w:id="12" w:name="_Toc470763988"/>
      <w:r w:rsidRPr="00A52EF3">
        <w:rPr>
          <w:rFonts w:ascii="Times New Roman" w:eastAsia="Calibri" w:hAnsi="Times New Roman" w:cs="Times New Roman"/>
          <w:color w:val="auto"/>
        </w:rPr>
        <w:lastRenderedPageBreak/>
        <w:t>Obszary chronione</w:t>
      </w:r>
      <w:bookmarkEnd w:id="12"/>
    </w:p>
    <w:p w:rsidR="004F1935" w:rsidRPr="00A52EF3" w:rsidRDefault="004F1935" w:rsidP="004F1935">
      <w:pPr>
        <w:rPr>
          <w:rFonts w:ascii="Times New Roman" w:hAnsi="Times New Roman" w:cs="Times New Roman"/>
          <w:sz w:val="24"/>
          <w:szCs w:val="24"/>
        </w:rPr>
      </w:pPr>
      <w:r w:rsidRPr="00A52EF3">
        <w:rPr>
          <w:rFonts w:ascii="Times New Roman" w:hAnsi="Times New Roman" w:cs="Times New Roman"/>
        </w:rPr>
        <w:tab/>
      </w:r>
      <w:r w:rsidR="00BA4C99" w:rsidRPr="00A52EF3">
        <w:rPr>
          <w:rFonts w:ascii="Times New Roman" w:hAnsi="Times New Roman" w:cs="Times New Roman"/>
          <w:sz w:val="24"/>
          <w:szCs w:val="24"/>
        </w:rPr>
        <w:t xml:space="preserve">W Gminie Brody, w rozumieniu art. 6 ust. 1 pkt. 1-9 ustawy z dnia 16 kwietnia 2004 r. o ochronie przyrody </w:t>
      </w:r>
      <w:r w:rsidR="0098084B" w:rsidRPr="00A52EF3">
        <w:rPr>
          <w:rFonts w:ascii="Times New Roman" w:hAnsi="Times New Roman" w:cs="Times New Roman"/>
          <w:sz w:val="24"/>
          <w:szCs w:val="24"/>
        </w:rPr>
        <w:t xml:space="preserve"> </w:t>
      </w:r>
      <w:r w:rsidR="00BA4C99" w:rsidRPr="00A52EF3">
        <w:rPr>
          <w:rFonts w:ascii="Times New Roman" w:hAnsi="Times New Roman" w:cs="Times New Roman"/>
          <w:sz w:val="24"/>
          <w:szCs w:val="24"/>
        </w:rPr>
        <w:t>(Dz. U. z  2015 r. poz. 1615,  z późn. zm.), znajdują się niniejsze formy ochrony przyrody:</w:t>
      </w:r>
    </w:p>
    <w:p w:rsidR="0049277D" w:rsidRPr="00A52EF3" w:rsidRDefault="0049277D" w:rsidP="00F25FCA">
      <w:pPr>
        <w:spacing w:after="0" w:line="360" w:lineRule="auto"/>
        <w:jc w:val="center"/>
        <w:rPr>
          <w:rFonts w:ascii="Times New Roman" w:eastAsia="Calibri" w:hAnsi="Times New Roman" w:cs="Times New Roman"/>
          <w:sz w:val="24"/>
          <w:u w:val="single"/>
        </w:rPr>
      </w:pPr>
      <w:r w:rsidRPr="00A52EF3">
        <w:rPr>
          <w:rFonts w:ascii="Times New Roman" w:eastAsia="Calibri" w:hAnsi="Times New Roman" w:cs="Times New Roman"/>
          <w:sz w:val="24"/>
          <w:u w:val="single"/>
        </w:rPr>
        <w:t>Obszar Chronionego Krajobrazu Doliny Kamiennej</w:t>
      </w:r>
    </w:p>
    <w:p w:rsidR="0049277D" w:rsidRPr="00A52EF3" w:rsidRDefault="0049277D"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szCs w:val="24"/>
        </w:rPr>
        <w:t>Został utworzony w 1995 roku</w:t>
      </w:r>
      <w:r w:rsidR="00697669" w:rsidRPr="00A52EF3">
        <w:rPr>
          <w:rFonts w:ascii="Times New Roman" w:eastAsia="Calibri" w:hAnsi="Times New Roman" w:cs="Times New Roman"/>
          <w:sz w:val="24"/>
          <w:szCs w:val="24"/>
        </w:rPr>
        <w:t xml:space="preserve"> na podstawie </w:t>
      </w:r>
      <w:r w:rsidR="00697669" w:rsidRPr="00A52EF3">
        <w:rPr>
          <w:rFonts w:ascii="Times New Roman" w:hAnsi="Times New Roman" w:cs="Times New Roman"/>
          <w:sz w:val="24"/>
          <w:szCs w:val="24"/>
        </w:rPr>
        <w:t xml:space="preserve">rozporządzenia Nr 12/95 Wojewody Kieleckiego Dz. Urz. Woj. Kieleckiego Nr 21 poz. 145 </w:t>
      </w:r>
      <w:r w:rsidRPr="00A52EF3">
        <w:rPr>
          <w:rFonts w:ascii="Times New Roman" w:eastAsia="Calibri" w:hAnsi="Times New Roman" w:cs="Times New Roman"/>
          <w:sz w:val="24"/>
          <w:szCs w:val="24"/>
        </w:rPr>
        <w:t xml:space="preserve"> i zajmuje powierzchnię 72 634 </w:t>
      </w:r>
      <w:r w:rsidRPr="00A52EF3">
        <w:rPr>
          <w:rFonts w:ascii="Times New Roman" w:eastAsia="Calibri" w:hAnsi="Times New Roman" w:cs="Times New Roman"/>
          <w:sz w:val="24"/>
        </w:rPr>
        <w:t xml:space="preserve">ha. Położony jest w północnej i północno-wschodniej części województwa świętokrzyskiego. </w:t>
      </w:r>
      <w:r w:rsidR="00697669" w:rsidRPr="00A52EF3">
        <w:rPr>
          <w:rFonts w:ascii="Times New Roman" w:eastAsia="Calibri" w:hAnsi="Times New Roman" w:cs="Times New Roman"/>
          <w:sz w:val="24"/>
        </w:rPr>
        <w:br/>
      </w:r>
      <w:r w:rsidRPr="00A52EF3">
        <w:rPr>
          <w:rFonts w:ascii="Times New Roman" w:eastAsia="Calibri" w:hAnsi="Times New Roman" w:cs="Times New Roman"/>
          <w:sz w:val="24"/>
        </w:rPr>
        <w:t>W skład obszaru wchodzi cała dolina rzeki Kamiennej wraz z jej prawobrzeżnym dopływem - Kamionką oraz przylegający do rzeki kompleks Lasów Iłżeckich. Został on utworzony celem zabezpieczenia trwałej ochrony zbiorników wód  podziemnych i wód powierzchniowych oraz odtworzenia i zachowania przez dolinę rzeki Kamiennej istotnej roli regionalnego korytarza ekologicznego, który łąc</w:t>
      </w:r>
      <w:r w:rsidR="00AF3574" w:rsidRPr="00A52EF3">
        <w:rPr>
          <w:rFonts w:ascii="Times New Roman" w:eastAsia="Calibri" w:hAnsi="Times New Roman" w:cs="Times New Roman"/>
          <w:sz w:val="24"/>
        </w:rPr>
        <w:t xml:space="preserve">zy Świętokrzyski Park Narodowy </w:t>
      </w:r>
      <w:r w:rsidRPr="00A52EF3">
        <w:rPr>
          <w:rFonts w:ascii="Times New Roman" w:eastAsia="Calibri" w:hAnsi="Times New Roman" w:cs="Times New Roman"/>
          <w:sz w:val="24"/>
        </w:rPr>
        <w:t>i parki krajobrazowe Gór Świętokrzyskich z kompleksem Lasów Iłżeckich i chronioną doliną Wisły.</w:t>
      </w:r>
    </w:p>
    <w:p w:rsidR="0049277D" w:rsidRPr="00A52EF3" w:rsidRDefault="0049277D" w:rsidP="00F25FCA">
      <w:pPr>
        <w:spacing w:after="0" w:line="360" w:lineRule="auto"/>
        <w:ind w:firstLine="708"/>
        <w:jc w:val="center"/>
        <w:rPr>
          <w:rFonts w:ascii="Times New Roman" w:eastAsia="Calibri" w:hAnsi="Times New Roman" w:cs="Times New Roman"/>
          <w:sz w:val="24"/>
        </w:rPr>
      </w:pPr>
    </w:p>
    <w:p w:rsidR="0049277D" w:rsidRPr="00A52EF3" w:rsidRDefault="0049277D" w:rsidP="00F25FCA">
      <w:pPr>
        <w:spacing w:after="0" w:line="360" w:lineRule="auto"/>
        <w:jc w:val="center"/>
        <w:rPr>
          <w:rFonts w:ascii="Times New Roman" w:eastAsia="Calibri" w:hAnsi="Times New Roman" w:cs="Times New Roman"/>
          <w:sz w:val="24"/>
          <w:u w:val="single"/>
        </w:rPr>
      </w:pPr>
      <w:r w:rsidRPr="00A52EF3">
        <w:rPr>
          <w:rFonts w:ascii="Times New Roman" w:eastAsia="Calibri" w:hAnsi="Times New Roman" w:cs="Times New Roman"/>
          <w:sz w:val="24"/>
          <w:u w:val="single"/>
        </w:rPr>
        <w:t>Rezerwat leśny „Rosochacz”</w:t>
      </w:r>
    </w:p>
    <w:p w:rsidR="0049277D" w:rsidRPr="00A52EF3" w:rsidRDefault="005B56A8" w:rsidP="005B56A8">
      <w:pPr>
        <w:spacing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 xml:space="preserve">Rezerwat został utworzony na podstawie </w:t>
      </w:r>
      <w:r w:rsidRPr="00A52EF3">
        <w:rPr>
          <w:rFonts w:ascii="Times New Roman" w:hAnsi="Times New Roman" w:cs="Times New Roman"/>
          <w:sz w:val="24"/>
          <w:szCs w:val="24"/>
        </w:rPr>
        <w:t xml:space="preserve">zarządzenia MOŚZNiL z 25.07.1997 r. (MP Nr 51 z 1997, poz. 485). </w:t>
      </w:r>
      <w:r w:rsidR="0049277D" w:rsidRPr="00A52EF3">
        <w:rPr>
          <w:rFonts w:ascii="Times New Roman" w:eastAsia="Calibri" w:hAnsi="Times New Roman" w:cs="Times New Roman"/>
          <w:sz w:val="24"/>
        </w:rPr>
        <w:t>Zajmuje powierzchnię 30,44 ha. Położony jest w miejscowości Lubienia i swoim zasięgiem obejmuje lasy obszaru źródliskowego rzeczki Świętojanki. Na bagnistym obszarze lasu znajdują się cenne gatunki flory i fauny Lasów Iłżeckich. Spotkać tu można m. in. wawrzynka wilczełyko, cis</w:t>
      </w:r>
      <w:r w:rsidRPr="00A52EF3">
        <w:rPr>
          <w:rFonts w:ascii="Times New Roman" w:eastAsia="Calibri" w:hAnsi="Times New Roman" w:cs="Times New Roman"/>
          <w:sz w:val="24"/>
        </w:rPr>
        <w:t>a</w:t>
      </w:r>
      <w:r w:rsidR="0049277D" w:rsidRPr="00A52EF3">
        <w:rPr>
          <w:rFonts w:ascii="Times New Roman" w:eastAsia="Calibri" w:hAnsi="Times New Roman" w:cs="Times New Roman"/>
          <w:sz w:val="24"/>
        </w:rPr>
        <w:t xml:space="preserve">, rosiczkę okrągłolistną, widłaka jałowcowatego, widłaka wrońca, lilię złotogłów, podkolana białego, starca Fuchsa. W rezerwacie dochodzi do powolnej ekspansji gatunków drzewiastych (jodła, sosna, olsza, grab) na teren bagnisty. Wśród ptaków występuje tu jastrząb gołębiarz, sokół wędrowny i bocian czarny. Na stromych, pokrytych lasem stokach „przełomu” rzeki Kamiennej odsłaniają się interesujące wychodnie skalne. </w:t>
      </w:r>
    </w:p>
    <w:p w:rsidR="00AF3574" w:rsidRPr="00A52EF3" w:rsidRDefault="00AF3574" w:rsidP="00F25FCA">
      <w:pPr>
        <w:spacing w:after="0" w:line="360" w:lineRule="auto"/>
        <w:jc w:val="center"/>
        <w:rPr>
          <w:rFonts w:ascii="Times New Roman" w:eastAsia="Calibri" w:hAnsi="Times New Roman" w:cs="Times New Roman"/>
          <w:sz w:val="24"/>
          <w:u w:val="single"/>
        </w:rPr>
      </w:pPr>
    </w:p>
    <w:p w:rsidR="0049277D" w:rsidRPr="00A52EF3" w:rsidRDefault="0049277D" w:rsidP="00F25FCA">
      <w:pPr>
        <w:spacing w:after="0" w:line="360" w:lineRule="auto"/>
        <w:jc w:val="center"/>
        <w:rPr>
          <w:rFonts w:ascii="Times New Roman" w:eastAsia="Calibri" w:hAnsi="Times New Roman" w:cs="Times New Roman"/>
          <w:sz w:val="24"/>
          <w:u w:val="single"/>
        </w:rPr>
      </w:pPr>
      <w:r w:rsidRPr="00A52EF3">
        <w:rPr>
          <w:rFonts w:ascii="Times New Roman" w:eastAsia="Calibri" w:hAnsi="Times New Roman" w:cs="Times New Roman"/>
          <w:sz w:val="24"/>
          <w:u w:val="single"/>
        </w:rPr>
        <w:t>Rezerwat „Skały w Krynkach”</w:t>
      </w:r>
    </w:p>
    <w:p w:rsidR="008F14EE" w:rsidRPr="00A52EF3" w:rsidRDefault="00B52B0D" w:rsidP="004A4AE0">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szCs w:val="24"/>
        </w:rPr>
        <w:t xml:space="preserve">Rezerwat został utworzony na podstawie </w:t>
      </w:r>
      <w:r w:rsidRPr="00A52EF3">
        <w:rPr>
          <w:rFonts w:ascii="Times New Roman" w:hAnsi="Times New Roman" w:cs="Times New Roman"/>
          <w:sz w:val="24"/>
          <w:szCs w:val="24"/>
        </w:rPr>
        <w:t xml:space="preserve">zarządzenia MOŚZNiL z 25.07.1997 r. (MP Nr 51 z 1997, poz. </w:t>
      </w:r>
      <w:r w:rsidR="003151CB" w:rsidRPr="00A52EF3">
        <w:rPr>
          <w:rFonts w:ascii="Times New Roman" w:hAnsi="Times New Roman" w:cs="Times New Roman"/>
          <w:sz w:val="24"/>
          <w:szCs w:val="24"/>
        </w:rPr>
        <w:t>546</w:t>
      </w:r>
      <w:r w:rsidRPr="00A52EF3">
        <w:rPr>
          <w:rFonts w:ascii="Times New Roman" w:hAnsi="Times New Roman" w:cs="Times New Roman"/>
          <w:sz w:val="24"/>
          <w:szCs w:val="24"/>
        </w:rPr>
        <w:t xml:space="preserve">). </w:t>
      </w:r>
      <w:r w:rsidR="0049277D" w:rsidRPr="00A52EF3">
        <w:rPr>
          <w:rFonts w:ascii="Times New Roman" w:eastAsia="Calibri" w:hAnsi="Times New Roman" w:cs="Times New Roman"/>
          <w:sz w:val="24"/>
        </w:rPr>
        <w:t xml:space="preserve">Położony jest  w pobliżu Zalewu Brodzkiego, na południe od </w:t>
      </w:r>
      <w:r w:rsidR="0049277D" w:rsidRPr="00A52EF3">
        <w:rPr>
          <w:rFonts w:ascii="Times New Roman" w:eastAsia="Calibri" w:hAnsi="Times New Roman" w:cs="Times New Roman"/>
          <w:sz w:val="24"/>
        </w:rPr>
        <w:lastRenderedPageBreak/>
        <w:t>miejscowości Krynki Małe i zajmuje powierzchnię 25,10 ha. Został utworzony celem zachowania monumentalnych bloków piaskowca dolnotriasowego. Niektóre skały wyglądem przypominają okapy, ambony czy wielkie grzyby. Ich uziarnienie i warstwowanie przekątne świadczy o tym, że osady te powstawały na dnie rzeki. W niedalekiej odległości od rezerwatu, w Krynkach, znajduje się odsłonięcie skał powstałych w podobnym okresie, lecz w środowisku morskim. W obrębie rezerwatu mieści się wąwóz z pionowymi, wysokimi ścianami skalnymi o wysokości dochodzącej nawet do 10 m.</w:t>
      </w:r>
    </w:p>
    <w:p w:rsidR="008F14EE" w:rsidRPr="00A52EF3" w:rsidRDefault="008F14EE" w:rsidP="00F25FCA">
      <w:pPr>
        <w:spacing w:after="0" w:line="360" w:lineRule="auto"/>
        <w:jc w:val="both"/>
        <w:rPr>
          <w:rFonts w:ascii="Times New Roman" w:eastAsia="Calibri" w:hAnsi="Times New Roman" w:cs="Times New Roman"/>
          <w:sz w:val="24"/>
        </w:rPr>
      </w:pPr>
    </w:p>
    <w:p w:rsidR="0049277D" w:rsidRPr="00A52EF3" w:rsidRDefault="0049277D" w:rsidP="00F25FCA">
      <w:pPr>
        <w:spacing w:after="0" w:line="360" w:lineRule="auto"/>
        <w:jc w:val="center"/>
        <w:rPr>
          <w:rFonts w:ascii="Times New Roman" w:eastAsia="Calibri" w:hAnsi="Times New Roman" w:cs="Times New Roman"/>
          <w:sz w:val="24"/>
          <w:u w:val="single"/>
        </w:rPr>
      </w:pPr>
      <w:r w:rsidRPr="00A52EF3">
        <w:rPr>
          <w:rFonts w:ascii="Times New Roman" w:eastAsia="Calibri" w:hAnsi="Times New Roman" w:cs="Times New Roman"/>
          <w:sz w:val="24"/>
          <w:u w:val="single"/>
        </w:rPr>
        <w:t>Rezerwat „Skały pod Adamowem”</w:t>
      </w:r>
    </w:p>
    <w:p w:rsidR="0049277D" w:rsidRPr="00A52EF3" w:rsidRDefault="00B52B0D" w:rsidP="008C027D">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szCs w:val="24"/>
        </w:rPr>
        <w:t xml:space="preserve">Rezerwat został utworzony na podstawie </w:t>
      </w:r>
      <w:r w:rsidRPr="00A52EF3">
        <w:rPr>
          <w:rFonts w:ascii="Times New Roman" w:hAnsi="Times New Roman" w:cs="Times New Roman"/>
          <w:sz w:val="24"/>
          <w:szCs w:val="24"/>
        </w:rPr>
        <w:t xml:space="preserve">zarządzenia MOŚZNiL z 25.07.1997 r. (MP Nr 51 z 1997, poz. 407). </w:t>
      </w:r>
      <w:r w:rsidR="0049277D" w:rsidRPr="00A52EF3">
        <w:rPr>
          <w:rFonts w:ascii="Times New Roman" w:eastAsia="Calibri" w:hAnsi="Times New Roman" w:cs="Times New Roman"/>
          <w:sz w:val="24"/>
        </w:rPr>
        <w:t>Rezerwat zajmuje powierzchnię 8,98 ha i utworzony został w celu ochrony wychodni piaskowców dolnotriasowych. Skałki, zaliczone do dolnego liasu, ciągną się wzdłuż zbocza na długości ok. 1 km i sięgają do 6m. Procesy wietrzenia nadały im kształty ambon, głęboko podciętych okapów i grzybów skalnych. W ścianach powstały płaskie zagłębienia i wystające gzymsy, które odzwierciedlają ławicowe ułożenie piaskowców. Na powierzchni skał charakterystyczne są owalne wgłębienia przedzielone koronkowymi żeberkami. Miejscami skały porośnięte są przez paprotkę zwyczajną, zanokcicę skalną i rojnik pospolity.</w:t>
      </w:r>
    </w:p>
    <w:p w:rsidR="0049277D" w:rsidRPr="00A52EF3" w:rsidRDefault="0049277D" w:rsidP="00F25FCA">
      <w:pPr>
        <w:spacing w:after="0" w:line="360" w:lineRule="auto"/>
        <w:jc w:val="both"/>
        <w:rPr>
          <w:rFonts w:ascii="Times New Roman" w:eastAsia="Calibri" w:hAnsi="Times New Roman" w:cs="Times New Roman"/>
          <w:sz w:val="24"/>
          <w:u w:val="single"/>
        </w:rPr>
      </w:pPr>
    </w:p>
    <w:p w:rsidR="0049277D" w:rsidRPr="00A52EF3" w:rsidRDefault="0049277D" w:rsidP="00F25FCA">
      <w:pPr>
        <w:spacing w:after="0" w:line="360" w:lineRule="auto"/>
        <w:jc w:val="center"/>
        <w:rPr>
          <w:rFonts w:ascii="Times New Roman" w:eastAsia="Calibri" w:hAnsi="Times New Roman" w:cs="Times New Roman"/>
          <w:sz w:val="24"/>
          <w:u w:val="single"/>
        </w:rPr>
      </w:pPr>
      <w:r w:rsidRPr="00A52EF3">
        <w:rPr>
          <w:rFonts w:ascii="Times New Roman" w:eastAsia="Calibri" w:hAnsi="Times New Roman" w:cs="Times New Roman"/>
          <w:sz w:val="24"/>
          <w:u w:val="single"/>
        </w:rPr>
        <w:t>Pomniki przyrody ożywionej i nieożywionej</w:t>
      </w:r>
    </w:p>
    <w:p w:rsidR="00C93BFE" w:rsidRPr="00A52EF3" w:rsidRDefault="00C93BFE" w:rsidP="00F25FCA">
      <w:pPr>
        <w:spacing w:after="0" w:line="360" w:lineRule="auto"/>
        <w:jc w:val="center"/>
        <w:rPr>
          <w:rFonts w:ascii="Times New Roman" w:eastAsia="Calibri" w:hAnsi="Times New Roman" w:cs="Times New Roman"/>
          <w:sz w:val="24"/>
          <w:u w:val="single"/>
        </w:rPr>
      </w:pPr>
    </w:p>
    <w:p w:rsidR="00105AA6" w:rsidRPr="00A52EF3" w:rsidRDefault="00105AA6" w:rsidP="00105AA6">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W Gminie Brody znajduje się 8 pomników przyrody:</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Skały w Rudzie (nr 136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Skałki w Rudzie (nr 137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Głazy w Rudzie (nr 138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Odsłonięcie Geologiczne i Źródło (nr 139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Profil Geologiczny w Młynku (nr 140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Cztery Buki Pospolite (nr 379 w rejestrze RDOŚ)</w:t>
      </w:r>
    </w:p>
    <w:p w:rsidR="00105AA6" w:rsidRPr="00A52EF3" w:rsidRDefault="00105AA6"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Daglezja Zielona (nr 380 w rejestrze RDOŚ)</w:t>
      </w:r>
    </w:p>
    <w:p w:rsidR="00105AA6" w:rsidRPr="00A52EF3" w:rsidRDefault="00A65BD4" w:rsidP="00105AA6">
      <w:pPr>
        <w:numPr>
          <w:ilvl w:val="0"/>
          <w:numId w:val="16"/>
        </w:numPr>
        <w:spacing w:after="0" w:line="360" w:lineRule="auto"/>
        <w:contextualSpacing/>
        <w:jc w:val="both"/>
        <w:rPr>
          <w:rFonts w:ascii="Times New Roman" w:eastAsia="Calibri" w:hAnsi="Times New Roman" w:cs="Times New Roman"/>
          <w:sz w:val="24"/>
        </w:rPr>
      </w:pPr>
      <w:r w:rsidRPr="00A52EF3">
        <w:rPr>
          <w:rFonts w:ascii="Times New Roman" w:hAnsi="Times New Roman" w:cs="Times New Roman"/>
          <w:color w:val="000000" w:themeColor="text1"/>
          <w:sz w:val="24"/>
          <w:szCs w:val="24"/>
        </w:rPr>
        <w:t>Dąb szypułkowy gm. - Dąb "Maciek"</w:t>
      </w:r>
      <w:r w:rsidRPr="00A52EF3">
        <w:rPr>
          <w:rFonts w:ascii="Times New Roman" w:hAnsi="Times New Roman" w:cs="Times New Roman"/>
        </w:rPr>
        <w:t xml:space="preserve"> </w:t>
      </w:r>
      <w:r w:rsidR="00105AA6" w:rsidRPr="00A52EF3">
        <w:rPr>
          <w:rFonts w:ascii="Times New Roman" w:eastAsia="Calibri" w:hAnsi="Times New Roman" w:cs="Times New Roman"/>
          <w:sz w:val="24"/>
        </w:rPr>
        <w:t>(nr 767 w rejestrze RDOŚ)</w:t>
      </w:r>
    </w:p>
    <w:p w:rsidR="007736AD" w:rsidRPr="00A52EF3" w:rsidRDefault="007736AD" w:rsidP="007736AD">
      <w:pPr>
        <w:spacing w:after="0" w:line="360" w:lineRule="auto"/>
        <w:ind w:left="720"/>
        <w:contextualSpacing/>
        <w:jc w:val="both"/>
        <w:rPr>
          <w:rFonts w:ascii="Times New Roman" w:eastAsia="Calibri" w:hAnsi="Times New Roman" w:cs="Times New Roman"/>
          <w:sz w:val="24"/>
        </w:rPr>
      </w:pPr>
    </w:p>
    <w:p w:rsidR="00A65BD4" w:rsidRPr="00A52EF3" w:rsidRDefault="007736AD" w:rsidP="00A65BD4">
      <w:pPr>
        <w:spacing w:after="0" w:line="360" w:lineRule="auto"/>
        <w:ind w:firstLine="708"/>
        <w:contextualSpacing/>
        <w:jc w:val="both"/>
        <w:rPr>
          <w:rFonts w:ascii="Times New Roman" w:hAnsi="Times New Roman" w:cs="Times New Roman"/>
          <w:color w:val="000000" w:themeColor="text1"/>
          <w:sz w:val="24"/>
          <w:szCs w:val="24"/>
        </w:rPr>
      </w:pPr>
      <w:r w:rsidRPr="00A52EF3">
        <w:rPr>
          <w:rFonts w:ascii="Times New Roman" w:eastAsia="Calibri" w:hAnsi="Times New Roman" w:cs="Times New Roman"/>
          <w:color w:val="000000" w:themeColor="text1"/>
          <w:sz w:val="24"/>
          <w:szCs w:val="24"/>
        </w:rPr>
        <w:lastRenderedPageBreak/>
        <w:t xml:space="preserve">Odsłonięcie Geologiczne i Źródło, Profil Geologiczny w Młynku, Skały, Skałki </w:t>
      </w:r>
      <w:r w:rsidR="008F14EE" w:rsidRPr="00A52EF3">
        <w:rPr>
          <w:rFonts w:ascii="Times New Roman" w:eastAsia="Calibri" w:hAnsi="Times New Roman" w:cs="Times New Roman"/>
          <w:color w:val="000000" w:themeColor="text1"/>
          <w:sz w:val="24"/>
          <w:szCs w:val="24"/>
        </w:rPr>
        <w:br/>
      </w:r>
      <w:r w:rsidRPr="00A52EF3">
        <w:rPr>
          <w:rFonts w:ascii="Times New Roman" w:eastAsia="Calibri" w:hAnsi="Times New Roman" w:cs="Times New Roman"/>
          <w:color w:val="000000" w:themeColor="text1"/>
          <w:sz w:val="24"/>
          <w:szCs w:val="24"/>
        </w:rPr>
        <w:t>i Głazy w Rudzie zostały ustanowione</w:t>
      </w:r>
      <w:r w:rsidR="00A65BD4" w:rsidRPr="00A52EF3">
        <w:rPr>
          <w:rFonts w:ascii="Times New Roman" w:eastAsia="Calibri" w:hAnsi="Times New Roman" w:cs="Times New Roman"/>
          <w:color w:val="000000" w:themeColor="text1"/>
          <w:sz w:val="24"/>
          <w:szCs w:val="24"/>
        </w:rPr>
        <w:t xml:space="preserve"> pomnikami przyrody</w:t>
      </w:r>
      <w:r w:rsidRPr="00A52EF3">
        <w:rPr>
          <w:rFonts w:ascii="Times New Roman" w:eastAsia="Calibri" w:hAnsi="Times New Roman" w:cs="Times New Roman"/>
          <w:color w:val="000000" w:themeColor="text1"/>
          <w:sz w:val="24"/>
          <w:szCs w:val="24"/>
        </w:rPr>
        <w:t xml:space="preserve"> na podstawie </w:t>
      </w:r>
      <w:r w:rsidRPr="00A52EF3">
        <w:rPr>
          <w:rFonts w:ascii="Times New Roman" w:hAnsi="Times New Roman" w:cs="Times New Roman"/>
          <w:color w:val="000000" w:themeColor="text1"/>
          <w:sz w:val="24"/>
          <w:szCs w:val="24"/>
        </w:rPr>
        <w:t xml:space="preserve">Zarządzenia Nr 23/87 Wojewody Kieleckiego z dnia 2 października 1987 r. w sprawie uznania za pomniki przyrody. Dz. Urz. Woj. Kieleckiego Nr 19, poz. 223, z późniejszymi zmianami rozporządzenia Nr 276/2001 Wojewody Świętokrzyskiego z dnia 9 sierpnia 2001 r. zmieniające zarządzenia i rozporządzenia w sprawie uznania za pomniki przyrody (Dz. Urz. Woj. Święt. Nr 85, poz. 987 z dn. 16.08.2001 r.). </w:t>
      </w:r>
    </w:p>
    <w:p w:rsidR="008F14EE" w:rsidRPr="00A52EF3" w:rsidRDefault="008F14EE" w:rsidP="00A65BD4">
      <w:pPr>
        <w:spacing w:after="0" w:line="360" w:lineRule="auto"/>
        <w:ind w:firstLine="708"/>
        <w:contextualSpacing/>
        <w:jc w:val="both"/>
        <w:rPr>
          <w:rFonts w:ascii="Times New Roman" w:hAnsi="Times New Roman" w:cs="Times New Roman"/>
          <w:color w:val="000000" w:themeColor="text1"/>
          <w:sz w:val="24"/>
          <w:szCs w:val="24"/>
        </w:rPr>
      </w:pPr>
    </w:p>
    <w:p w:rsidR="00A65BD4" w:rsidRPr="00A52EF3" w:rsidRDefault="007736AD" w:rsidP="00A65BD4">
      <w:pPr>
        <w:spacing w:after="0" w:line="360" w:lineRule="auto"/>
        <w:ind w:firstLine="708"/>
        <w:contextualSpacing/>
        <w:jc w:val="both"/>
        <w:rPr>
          <w:rFonts w:ascii="Times New Roman" w:hAnsi="Times New Roman" w:cs="Times New Roman"/>
          <w:color w:val="000000" w:themeColor="text1"/>
          <w:sz w:val="24"/>
          <w:szCs w:val="24"/>
        </w:rPr>
      </w:pPr>
      <w:r w:rsidRPr="00A52EF3">
        <w:rPr>
          <w:rFonts w:ascii="Times New Roman" w:hAnsi="Times New Roman" w:cs="Times New Roman"/>
          <w:color w:val="000000" w:themeColor="text1"/>
          <w:sz w:val="24"/>
          <w:szCs w:val="24"/>
        </w:rPr>
        <w:t xml:space="preserve">Cztery Buki </w:t>
      </w:r>
      <w:r w:rsidR="00A65BD4" w:rsidRPr="00A52EF3">
        <w:rPr>
          <w:rFonts w:ascii="Times New Roman" w:hAnsi="Times New Roman" w:cs="Times New Roman"/>
          <w:color w:val="000000" w:themeColor="text1"/>
          <w:sz w:val="24"/>
          <w:szCs w:val="24"/>
        </w:rPr>
        <w:t xml:space="preserve">Pospolite oraz Daglezja Zielona została uznana za pomnik przyrody na podstawie rozporządzenia Nr 21/97 Wojewody Kieleckiego z dnia 26 listopada 1997 r. </w:t>
      </w:r>
      <w:r w:rsidR="008F14EE" w:rsidRPr="00A52EF3">
        <w:rPr>
          <w:rFonts w:ascii="Times New Roman" w:hAnsi="Times New Roman" w:cs="Times New Roman"/>
          <w:color w:val="000000" w:themeColor="text1"/>
          <w:sz w:val="24"/>
          <w:szCs w:val="24"/>
        </w:rPr>
        <w:br/>
      </w:r>
      <w:r w:rsidR="00A65BD4" w:rsidRPr="00A52EF3">
        <w:rPr>
          <w:rFonts w:ascii="Times New Roman" w:hAnsi="Times New Roman" w:cs="Times New Roman"/>
          <w:color w:val="000000" w:themeColor="text1"/>
          <w:sz w:val="24"/>
          <w:szCs w:val="24"/>
        </w:rPr>
        <w:t xml:space="preserve">w sprawie uznania za pomniki przyrody. Dz.Urz.Woj.Kieleckiego Nr 41, poz. 168, </w:t>
      </w:r>
      <w:r w:rsidR="008F14EE" w:rsidRPr="00A52EF3">
        <w:rPr>
          <w:rFonts w:ascii="Times New Roman" w:hAnsi="Times New Roman" w:cs="Times New Roman"/>
          <w:color w:val="000000" w:themeColor="text1"/>
          <w:sz w:val="24"/>
          <w:szCs w:val="24"/>
        </w:rPr>
        <w:br/>
      </w:r>
      <w:r w:rsidR="00A65BD4" w:rsidRPr="00A52EF3">
        <w:rPr>
          <w:rFonts w:ascii="Times New Roman" w:hAnsi="Times New Roman" w:cs="Times New Roman"/>
          <w:color w:val="000000" w:themeColor="text1"/>
          <w:sz w:val="24"/>
          <w:szCs w:val="24"/>
        </w:rPr>
        <w:t xml:space="preserve">z dn.05.12.1997 r. </w:t>
      </w:r>
    </w:p>
    <w:p w:rsidR="007736AD" w:rsidRPr="00A52EF3" w:rsidRDefault="00A65BD4" w:rsidP="00A65BD4">
      <w:pPr>
        <w:spacing w:after="0" w:line="360" w:lineRule="auto"/>
        <w:ind w:firstLine="708"/>
        <w:contextualSpacing/>
        <w:jc w:val="both"/>
        <w:rPr>
          <w:rFonts w:ascii="Times New Roman" w:eastAsia="Calibri" w:hAnsi="Times New Roman" w:cs="Times New Roman"/>
          <w:color w:val="000000" w:themeColor="text1"/>
          <w:sz w:val="24"/>
          <w:szCs w:val="24"/>
        </w:rPr>
      </w:pPr>
      <w:r w:rsidRPr="00A52EF3">
        <w:rPr>
          <w:rFonts w:ascii="Times New Roman" w:hAnsi="Times New Roman" w:cs="Times New Roman"/>
          <w:color w:val="000000" w:themeColor="text1"/>
          <w:sz w:val="24"/>
          <w:szCs w:val="24"/>
        </w:rPr>
        <w:t xml:space="preserve">Dąb ,,Maciek” </w:t>
      </w:r>
      <w:r w:rsidR="002A1D32" w:rsidRPr="00A52EF3">
        <w:rPr>
          <w:rFonts w:ascii="Times New Roman" w:hAnsi="Times New Roman" w:cs="Times New Roman"/>
          <w:color w:val="000000" w:themeColor="text1"/>
          <w:sz w:val="24"/>
          <w:szCs w:val="24"/>
        </w:rPr>
        <w:t>został ustanowiony pomnikiem przyrody na podstawie rozporządzenia Nr 9/2006 Wojewody Świętokrzyskiego z dnia 29 maja 2006 r. w sprawie uznania za pomniki przyrody. Dz.Urz.Woj.Świętokrzyskiego Nr 137, poz. 1616, z dn. 02.06.2006 r.</w:t>
      </w:r>
    </w:p>
    <w:p w:rsidR="0049277D" w:rsidRPr="00A52EF3" w:rsidRDefault="0049277D" w:rsidP="00F25FCA">
      <w:pPr>
        <w:spacing w:after="0" w:line="360" w:lineRule="auto"/>
        <w:jc w:val="both"/>
        <w:rPr>
          <w:rFonts w:ascii="Times New Roman" w:eastAsia="Calibri" w:hAnsi="Times New Roman" w:cs="Times New Roman"/>
          <w:sz w:val="24"/>
          <w:u w:val="single"/>
        </w:rPr>
      </w:pPr>
    </w:p>
    <w:p w:rsidR="0049277D" w:rsidRPr="00A52EF3" w:rsidRDefault="0049277D" w:rsidP="00F25FCA">
      <w:pPr>
        <w:spacing w:after="0" w:line="360" w:lineRule="auto"/>
        <w:jc w:val="center"/>
        <w:rPr>
          <w:rFonts w:ascii="Times New Roman" w:eastAsia="Switzerland" w:hAnsi="Times New Roman" w:cs="Times New Roman"/>
          <w:sz w:val="24"/>
          <w:szCs w:val="24"/>
          <w:u w:val="single"/>
          <w:lang w:eastAsia="pl-PL"/>
        </w:rPr>
      </w:pPr>
      <w:r w:rsidRPr="00A52EF3">
        <w:rPr>
          <w:rFonts w:ascii="Times New Roman" w:eastAsia="Switzerland" w:hAnsi="Times New Roman" w:cs="Times New Roman"/>
          <w:sz w:val="24"/>
          <w:szCs w:val="24"/>
          <w:u w:val="single"/>
          <w:lang w:eastAsia="pl-PL"/>
        </w:rPr>
        <w:t>Natura 2000</w:t>
      </w:r>
    </w:p>
    <w:p w:rsidR="00B23865" w:rsidRPr="00A52EF3" w:rsidRDefault="0049277D" w:rsidP="009453BB">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Europejska Sieć Ekologiczna Natura 2000 stworzona została w celu utrzymania bioróżnorodności państw członkowskich Unii Europejskiej poprzez ochronę najcenniejszych siedlisk oraz gatunków flory i fauny na ich terytorium. </w:t>
      </w:r>
      <w:r w:rsidR="0097748A" w:rsidRPr="00A52EF3">
        <w:rPr>
          <w:rFonts w:ascii="Times New Roman" w:eastAsia="Calibri" w:hAnsi="Times New Roman" w:cs="Times New Roman"/>
          <w:sz w:val="24"/>
        </w:rPr>
        <w:t>N</w:t>
      </w:r>
      <w:r w:rsidRPr="00A52EF3">
        <w:rPr>
          <w:rFonts w:ascii="Times New Roman" w:eastAsia="Calibri" w:hAnsi="Times New Roman" w:cs="Times New Roman"/>
          <w:sz w:val="24"/>
        </w:rPr>
        <w:t xml:space="preserve">a terenie gminy </w:t>
      </w:r>
      <w:r w:rsidR="00320B12" w:rsidRPr="00A52EF3">
        <w:rPr>
          <w:rFonts w:ascii="Times New Roman" w:eastAsia="Calibri" w:hAnsi="Times New Roman" w:cs="Times New Roman"/>
          <w:sz w:val="24"/>
        </w:rPr>
        <w:t xml:space="preserve">Brody </w:t>
      </w:r>
      <w:r w:rsidR="009867C6" w:rsidRPr="00A52EF3">
        <w:rPr>
          <w:rFonts w:ascii="Times New Roman" w:eastAsia="Calibri" w:hAnsi="Times New Roman" w:cs="Times New Roman"/>
          <w:sz w:val="24"/>
        </w:rPr>
        <w:t xml:space="preserve">zostało </w:t>
      </w:r>
      <w:r w:rsidR="0097748A" w:rsidRPr="00A52EF3">
        <w:rPr>
          <w:rFonts w:ascii="Times New Roman" w:eastAsia="Calibri" w:hAnsi="Times New Roman" w:cs="Times New Roman"/>
          <w:sz w:val="24"/>
        </w:rPr>
        <w:t>zatwierdzone</w:t>
      </w:r>
      <w:r w:rsidR="009867C6" w:rsidRPr="00A52EF3">
        <w:rPr>
          <w:rFonts w:ascii="Times New Roman" w:eastAsia="Calibri" w:hAnsi="Times New Roman" w:cs="Times New Roman"/>
          <w:sz w:val="24"/>
        </w:rPr>
        <w:t xml:space="preserve"> </w:t>
      </w:r>
      <w:r w:rsidR="0097748A" w:rsidRPr="00A52EF3">
        <w:rPr>
          <w:rFonts w:ascii="Times New Roman" w:eastAsia="Calibri" w:hAnsi="Times New Roman" w:cs="Times New Roman"/>
          <w:sz w:val="24"/>
        </w:rPr>
        <w:t xml:space="preserve">utworzenie </w:t>
      </w:r>
      <w:r w:rsidRPr="00A52EF3">
        <w:rPr>
          <w:rFonts w:ascii="Times New Roman" w:eastAsia="Calibri" w:hAnsi="Times New Roman" w:cs="Times New Roman"/>
          <w:sz w:val="24"/>
        </w:rPr>
        <w:t>obszar</w:t>
      </w:r>
      <w:r w:rsidR="009E07DE" w:rsidRPr="00A52EF3">
        <w:rPr>
          <w:rFonts w:ascii="Times New Roman" w:eastAsia="Calibri" w:hAnsi="Times New Roman" w:cs="Times New Roman"/>
          <w:sz w:val="24"/>
        </w:rPr>
        <w:t>u</w:t>
      </w:r>
      <w:r w:rsidRPr="00A52EF3">
        <w:rPr>
          <w:rFonts w:ascii="Times New Roman" w:eastAsia="Calibri" w:hAnsi="Times New Roman" w:cs="Times New Roman"/>
          <w:sz w:val="24"/>
        </w:rPr>
        <w:t xml:space="preserve"> NATURA 2000 pn. „Wzgórza Kunowskie” oraz „Uro</w:t>
      </w:r>
      <w:r w:rsidR="00B23865" w:rsidRPr="00A52EF3">
        <w:rPr>
          <w:rFonts w:ascii="Times New Roman" w:eastAsia="Calibri" w:hAnsi="Times New Roman" w:cs="Times New Roman"/>
          <w:sz w:val="24"/>
        </w:rPr>
        <w:t xml:space="preserve">czyska Lasów Starachowickich”. </w:t>
      </w:r>
    </w:p>
    <w:p w:rsidR="009453BB" w:rsidRPr="00A52EF3" w:rsidRDefault="009453BB" w:rsidP="009453BB">
      <w:pPr>
        <w:spacing w:after="0" w:line="360" w:lineRule="auto"/>
        <w:ind w:firstLine="708"/>
        <w:jc w:val="both"/>
        <w:rPr>
          <w:rFonts w:ascii="Times New Roman" w:eastAsia="Calibri" w:hAnsi="Times New Roman" w:cs="Times New Roman"/>
          <w:sz w:val="24"/>
        </w:rPr>
      </w:pPr>
    </w:p>
    <w:p w:rsidR="009453BB" w:rsidRPr="00A52EF3" w:rsidRDefault="009453BB" w:rsidP="00F61B30">
      <w:pPr>
        <w:pStyle w:val="Akapitzlist"/>
        <w:numPr>
          <w:ilvl w:val="1"/>
          <w:numId w:val="86"/>
        </w:numPr>
        <w:spacing w:after="0" w:line="360" w:lineRule="auto"/>
        <w:jc w:val="both"/>
        <w:rPr>
          <w:rFonts w:ascii="Times New Roman" w:eastAsia="Calibri" w:hAnsi="Times New Roman" w:cs="Times New Roman"/>
          <w:b/>
          <w:sz w:val="26"/>
          <w:szCs w:val="26"/>
        </w:rPr>
      </w:pPr>
      <w:r w:rsidRPr="00A52EF3">
        <w:rPr>
          <w:rFonts w:ascii="Times New Roman" w:eastAsia="Calibri" w:hAnsi="Times New Roman" w:cs="Times New Roman"/>
          <w:b/>
          <w:sz w:val="26"/>
          <w:szCs w:val="26"/>
        </w:rPr>
        <w:t>Ramy korzystania ze środowiska</w:t>
      </w:r>
    </w:p>
    <w:p w:rsidR="009453BB" w:rsidRPr="00A52EF3" w:rsidRDefault="009453BB" w:rsidP="009453BB">
      <w:pPr>
        <w:spacing w:after="0" w:line="360" w:lineRule="auto"/>
        <w:jc w:val="both"/>
        <w:rPr>
          <w:rFonts w:ascii="Times New Roman" w:eastAsia="Calibri" w:hAnsi="Times New Roman" w:cs="Times New Roman"/>
          <w:b/>
          <w:sz w:val="24"/>
          <w:szCs w:val="24"/>
        </w:rPr>
      </w:pPr>
    </w:p>
    <w:p w:rsidR="008F14EE" w:rsidRPr="00A52EF3" w:rsidRDefault="009453BB" w:rsidP="004A4AE0">
      <w:pPr>
        <w:spacing w:line="360" w:lineRule="auto"/>
        <w:ind w:firstLine="708"/>
        <w:jc w:val="both"/>
        <w:rPr>
          <w:rFonts w:ascii="Times New Roman" w:hAnsi="Times New Roman" w:cs="Times New Roman"/>
          <w:color w:val="000000" w:themeColor="text1"/>
          <w:sz w:val="24"/>
          <w:szCs w:val="24"/>
        </w:rPr>
      </w:pPr>
      <w:r w:rsidRPr="00A52EF3">
        <w:rPr>
          <w:rFonts w:ascii="Times New Roman" w:hAnsi="Times New Roman" w:cs="Times New Roman"/>
          <w:color w:val="000000" w:themeColor="text1"/>
          <w:sz w:val="24"/>
          <w:szCs w:val="24"/>
        </w:rPr>
        <w:t>1. Ze względu na ochronę gatunków ptaków i ich siedlisk oraz siedlisk i gatunków inn</w:t>
      </w:r>
      <w:r w:rsidR="000E48C7" w:rsidRPr="00A52EF3">
        <w:rPr>
          <w:rFonts w:ascii="Times New Roman" w:hAnsi="Times New Roman" w:cs="Times New Roman"/>
          <w:color w:val="000000" w:themeColor="text1"/>
          <w:sz w:val="24"/>
          <w:szCs w:val="24"/>
        </w:rPr>
        <w:t>ych</w:t>
      </w:r>
      <w:r w:rsidRPr="00A52EF3">
        <w:rPr>
          <w:rFonts w:ascii="Times New Roman" w:hAnsi="Times New Roman" w:cs="Times New Roman"/>
          <w:color w:val="000000" w:themeColor="text1"/>
          <w:sz w:val="24"/>
          <w:szCs w:val="24"/>
        </w:rPr>
        <w:t xml:space="preserve"> niż ptaki stanowiących przedmiot ochrony obszarów  Natura 2000 skala i zakres planowanego zagospodarowania infrastrukturalnego i energetyki odnawialnej zostanie realizowany w sposób i w zakresie, który nie będzie zagrażać chronionym siedliskom i gatunkom (oznaczone w Standardowym Formularzu Danych oceną ogólną A, B lub C) z uwzględnieniem zakazu z art. 33 ustawy o ochronie przyrody. Działania wynikające z </w:t>
      </w:r>
      <w:r w:rsidRPr="00A52EF3">
        <w:rPr>
          <w:rFonts w:ascii="Times New Roman" w:hAnsi="Times New Roman" w:cs="Times New Roman"/>
          <w:color w:val="000000" w:themeColor="text1"/>
          <w:sz w:val="24"/>
          <w:szCs w:val="24"/>
        </w:rPr>
        <w:lastRenderedPageBreak/>
        <w:t xml:space="preserve">realizacji </w:t>
      </w:r>
      <w:r w:rsidR="00FB565C" w:rsidRPr="00A52EF3">
        <w:rPr>
          <w:rFonts w:ascii="Times New Roman" w:hAnsi="Times New Roman" w:cs="Times New Roman"/>
          <w:color w:val="000000" w:themeColor="text1"/>
          <w:sz w:val="24"/>
          <w:szCs w:val="24"/>
        </w:rPr>
        <w:t xml:space="preserve"> p</w:t>
      </w:r>
      <w:r w:rsidRPr="00A52EF3">
        <w:rPr>
          <w:rFonts w:ascii="Times New Roman" w:hAnsi="Times New Roman" w:cs="Times New Roman"/>
          <w:color w:val="000000" w:themeColor="text1"/>
          <w:sz w:val="24"/>
          <w:szCs w:val="24"/>
        </w:rPr>
        <w:t xml:space="preserve">lanu nie będą naruszać ustaleń, a także siedlisk przyrodniczych i siedliska gatunków będących przedmiotem ochrony obszarów </w:t>
      </w:r>
      <w:r w:rsidR="00FB565C" w:rsidRPr="00A52EF3">
        <w:rPr>
          <w:rFonts w:ascii="Times New Roman" w:hAnsi="Times New Roman" w:cs="Times New Roman"/>
          <w:color w:val="000000" w:themeColor="text1"/>
          <w:sz w:val="24"/>
          <w:szCs w:val="24"/>
        </w:rPr>
        <w:t>Natura 2000 na terenie Gminy Brody: Uroczyska Lasów Starachowickich PLH260038</w:t>
      </w:r>
      <w:r w:rsidR="004D1024" w:rsidRPr="00A52EF3">
        <w:rPr>
          <w:rFonts w:ascii="Times New Roman" w:hAnsi="Times New Roman" w:cs="Times New Roman"/>
          <w:color w:val="000000" w:themeColor="text1"/>
          <w:sz w:val="24"/>
          <w:szCs w:val="24"/>
        </w:rPr>
        <w:t xml:space="preserve"> oraz</w:t>
      </w:r>
      <w:r w:rsidR="00FB565C" w:rsidRPr="00A52EF3">
        <w:rPr>
          <w:rFonts w:ascii="Times New Roman" w:hAnsi="Times New Roman" w:cs="Times New Roman"/>
          <w:color w:val="000000" w:themeColor="text1"/>
          <w:sz w:val="24"/>
          <w:szCs w:val="24"/>
        </w:rPr>
        <w:t xml:space="preserve"> Wzgórza Kunowskie PLH260039</w:t>
      </w:r>
      <w:r w:rsidRPr="00A52EF3">
        <w:rPr>
          <w:rFonts w:ascii="Times New Roman" w:hAnsi="Times New Roman" w:cs="Times New Roman"/>
          <w:color w:val="000000" w:themeColor="text1"/>
          <w:sz w:val="24"/>
          <w:szCs w:val="24"/>
        </w:rPr>
        <w:t>2. </w:t>
      </w:r>
    </w:p>
    <w:p w:rsidR="009453BB" w:rsidRPr="00A52EF3" w:rsidRDefault="006624D0" w:rsidP="009453BB">
      <w:pPr>
        <w:spacing w:line="360" w:lineRule="auto"/>
        <w:ind w:firstLine="708"/>
        <w:jc w:val="both"/>
        <w:rPr>
          <w:rFonts w:ascii="Times New Roman" w:hAnsi="Times New Roman" w:cs="Times New Roman"/>
          <w:color w:val="000000" w:themeColor="text1"/>
          <w:sz w:val="24"/>
          <w:szCs w:val="24"/>
        </w:rPr>
      </w:pPr>
      <w:r w:rsidRPr="00A52EF3">
        <w:rPr>
          <w:rFonts w:ascii="Times New Roman" w:hAnsi="Times New Roman" w:cs="Times New Roman"/>
          <w:color w:val="000000" w:themeColor="text1"/>
          <w:sz w:val="24"/>
          <w:szCs w:val="24"/>
        </w:rPr>
        <w:t xml:space="preserve">2. </w:t>
      </w:r>
      <w:r w:rsidR="009453BB" w:rsidRPr="00A52EF3">
        <w:rPr>
          <w:rFonts w:ascii="Times New Roman" w:hAnsi="Times New Roman" w:cs="Times New Roman"/>
          <w:color w:val="000000" w:themeColor="text1"/>
          <w:sz w:val="24"/>
          <w:szCs w:val="24"/>
        </w:rPr>
        <w:t>Ze względu na ochronę funkcji ekologicznych terenów oraz siedlisk i gatunków hydrogenicznych i wyeliminowanie kolizji dróg twardych ze szlakami migracyjnymi lub miejscami rozrodu i regularnego przebywania fauny, a tym samym poprawy bezpieczeństwa użytkowników dróg ustala się obowiązek rozpoznania przyrodniczego (audyt przyrodniczy) w celu zidentyfikowania obszarów problemowych i ustalenia odpowiednich rozwiązań chroniących na etapie przygotowywania inwestycji  np. dostosowywanie przepustów wodnych do wymogów ekologicznych przejść dla małych i średnich zwierząt i stosowanie rozwiązań chroniących stosunki wodne oraz jakość wód powierzchniowych i podziemnych. Planowane działania polegające na budowie dróg zlokalizowane będą w istniejących ciągach infrastruktury drogowej.</w:t>
      </w:r>
    </w:p>
    <w:p w:rsidR="009453BB" w:rsidRPr="00A52EF3" w:rsidRDefault="009453BB" w:rsidP="00DB62EA">
      <w:pPr>
        <w:spacing w:line="360" w:lineRule="auto"/>
        <w:ind w:firstLine="708"/>
        <w:jc w:val="both"/>
        <w:rPr>
          <w:rFonts w:ascii="Times New Roman" w:hAnsi="Times New Roman" w:cs="Times New Roman"/>
          <w:color w:val="000000" w:themeColor="text1"/>
          <w:sz w:val="24"/>
          <w:szCs w:val="24"/>
        </w:rPr>
      </w:pPr>
      <w:r w:rsidRPr="00A52EF3">
        <w:rPr>
          <w:rFonts w:ascii="Times New Roman" w:hAnsi="Times New Roman" w:cs="Times New Roman"/>
          <w:color w:val="000000" w:themeColor="text1"/>
          <w:sz w:val="24"/>
          <w:szCs w:val="24"/>
        </w:rPr>
        <w:t>3. W celu ochrony bioróżnorodności terenów zurbanizowanych oraz obowiązku ochrony gatunkowej ptaków i nietoperzy, ze względu na prawdopodobieństwo zasiedlania</w:t>
      </w:r>
      <w:r w:rsidR="00DB62EA" w:rsidRPr="00A52EF3">
        <w:rPr>
          <w:rFonts w:ascii="Times New Roman" w:hAnsi="Times New Roman" w:cs="Times New Roman"/>
          <w:color w:val="000000" w:themeColor="text1"/>
          <w:sz w:val="24"/>
          <w:szCs w:val="24"/>
        </w:rPr>
        <w:t xml:space="preserve"> przez ptaki (np. jerzyki, oknówki)</w:t>
      </w:r>
      <w:r w:rsidRPr="00A52EF3">
        <w:rPr>
          <w:rFonts w:ascii="Times New Roman" w:hAnsi="Times New Roman" w:cs="Times New Roman"/>
          <w:color w:val="000000" w:themeColor="text1"/>
          <w:sz w:val="24"/>
          <w:szCs w:val="24"/>
        </w:rPr>
        <w:t xml:space="preserve"> budynków planowanych do termomodernizacji ustala się obowiązek przeprowadzenia audytu ornitologicznego i wdrożenia odpowiednich rozwiązań chroniących (prowadzenie prac poza sezonem lęgowym, wykonanie zastępczych miejsc lęgowych itp.) w przypadku zasiedlenia budynków przez gatunki chronione.</w:t>
      </w:r>
      <w:r w:rsidR="00DB62EA" w:rsidRPr="00A52EF3">
        <w:rPr>
          <w:rFonts w:ascii="Times New Roman" w:hAnsi="Times New Roman" w:cs="Times New Roman"/>
          <w:color w:val="000000" w:themeColor="text1"/>
          <w:sz w:val="24"/>
          <w:szCs w:val="24"/>
        </w:rPr>
        <w:t xml:space="preserve"> </w:t>
      </w:r>
      <w:r w:rsidRPr="00A52EF3">
        <w:rPr>
          <w:rFonts w:ascii="Times New Roman" w:hAnsi="Times New Roman" w:cs="Times New Roman"/>
          <w:color w:val="000000" w:themeColor="text1"/>
          <w:sz w:val="24"/>
          <w:szCs w:val="24"/>
        </w:rPr>
        <w:t>Termomodernizacja nie zalicza się do przedsięwzięć mogących znacząco oddziaływać na środowisko i nie wymaga decyzji środowiskowej</w:t>
      </w:r>
      <w:r w:rsidR="00DB62EA" w:rsidRPr="00A52EF3">
        <w:rPr>
          <w:rFonts w:ascii="Times New Roman" w:hAnsi="Times New Roman" w:cs="Times New Roman"/>
          <w:color w:val="000000" w:themeColor="text1"/>
          <w:sz w:val="24"/>
          <w:szCs w:val="24"/>
        </w:rPr>
        <w:t>,</w:t>
      </w:r>
      <w:r w:rsidRPr="00A52EF3">
        <w:rPr>
          <w:rFonts w:ascii="Times New Roman" w:hAnsi="Times New Roman" w:cs="Times New Roman"/>
          <w:color w:val="000000" w:themeColor="text1"/>
          <w:sz w:val="24"/>
          <w:szCs w:val="24"/>
        </w:rPr>
        <w:t xml:space="preserve"> a może powodować jednak konkretne straty przyrodnicze w populacjach gatunków bytujących w szczelinach i otworach wentylacyjnych.</w:t>
      </w:r>
    </w:p>
    <w:p w:rsidR="009453BB" w:rsidRPr="00A52EF3" w:rsidRDefault="009453BB" w:rsidP="009453BB">
      <w:pPr>
        <w:spacing w:after="0" w:line="360" w:lineRule="auto"/>
        <w:ind w:firstLine="708"/>
        <w:jc w:val="both"/>
        <w:rPr>
          <w:rFonts w:ascii="Times New Roman" w:eastAsia="Calibri" w:hAnsi="Times New Roman" w:cs="Times New Roman"/>
          <w:sz w:val="24"/>
        </w:rPr>
      </w:pPr>
    </w:p>
    <w:p w:rsidR="00B23865" w:rsidRPr="00A52EF3" w:rsidRDefault="00AF3574" w:rsidP="00F61B30">
      <w:pPr>
        <w:pStyle w:val="Nagwek2"/>
        <w:numPr>
          <w:ilvl w:val="1"/>
          <w:numId w:val="86"/>
        </w:numPr>
        <w:spacing w:after="240" w:line="360" w:lineRule="auto"/>
        <w:rPr>
          <w:rFonts w:ascii="Times New Roman" w:hAnsi="Times New Roman" w:cs="Times New Roman"/>
          <w:color w:val="auto"/>
        </w:rPr>
      </w:pPr>
      <w:bookmarkStart w:id="13" w:name="_Toc470763989"/>
      <w:r w:rsidRPr="00A52EF3">
        <w:rPr>
          <w:rFonts w:ascii="Times New Roman" w:hAnsi="Times New Roman" w:cs="Times New Roman"/>
          <w:color w:val="auto"/>
        </w:rPr>
        <w:t>Ludność</w:t>
      </w:r>
      <w:bookmarkEnd w:id="13"/>
    </w:p>
    <w:p w:rsidR="00B23865" w:rsidRPr="00A52EF3" w:rsidRDefault="00B23865"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rPr>
        <w:t>Szczegółowe dane dotyczące ludności Gminy Brody w podziale na sołectwa w latach 2011-2015 przedstawiają poniższa tabela oraz wykres.</w:t>
      </w:r>
      <w:r w:rsidRPr="00A52EF3">
        <w:rPr>
          <w:rFonts w:ascii="Times New Roman" w:hAnsi="Times New Roman" w:cs="Times New Roman"/>
          <w:b/>
          <w:sz w:val="24"/>
          <w:szCs w:val="24"/>
        </w:rPr>
        <w:t xml:space="preserve"> </w:t>
      </w:r>
      <w:r w:rsidR="00E10E35" w:rsidRPr="00A52EF3">
        <w:rPr>
          <w:rFonts w:ascii="Times New Roman" w:hAnsi="Times New Roman" w:cs="Times New Roman"/>
          <w:sz w:val="24"/>
          <w:szCs w:val="24"/>
        </w:rPr>
        <w:t>Przedstawiono również, za pomocą wykresu dane dotyczące struktury wieku i płci w gminie Brody według danych z 31.03.2016r.</w:t>
      </w:r>
    </w:p>
    <w:p w:rsidR="000F491C" w:rsidRPr="00A52EF3" w:rsidRDefault="000F491C" w:rsidP="00F25FCA">
      <w:pPr>
        <w:spacing w:line="360" w:lineRule="auto"/>
        <w:ind w:firstLine="708"/>
        <w:jc w:val="both"/>
        <w:rPr>
          <w:rFonts w:ascii="Times New Roman" w:hAnsi="Times New Roman" w:cs="Times New Roman"/>
          <w:sz w:val="24"/>
          <w:szCs w:val="24"/>
        </w:rPr>
      </w:pPr>
    </w:p>
    <w:tbl>
      <w:tblPr>
        <w:tblStyle w:val="Jasnasiatkaakcent11"/>
        <w:tblW w:w="0" w:type="auto"/>
        <w:tblLook w:val="04A0" w:firstRow="1" w:lastRow="0" w:firstColumn="1" w:lastColumn="0" w:noHBand="0" w:noVBand="1"/>
      </w:tblPr>
      <w:tblGrid>
        <w:gridCol w:w="554"/>
        <w:gridCol w:w="1404"/>
        <w:gridCol w:w="1466"/>
        <w:gridCol w:w="1466"/>
        <w:gridCol w:w="1466"/>
        <w:gridCol w:w="1466"/>
        <w:gridCol w:w="1466"/>
      </w:tblGrid>
      <w:tr w:rsidR="00CC547F" w:rsidRPr="00A52EF3" w:rsidTr="00F24AD0">
        <w:trPr>
          <w:cnfStyle w:val="100000000000" w:firstRow="1" w:lastRow="0" w:firstColumn="0" w:lastColumn="0" w:oddVBand="0" w:evenVBand="0" w:oddHBand="0"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Cs w:val="24"/>
              </w:rPr>
            </w:pPr>
            <w:r w:rsidRPr="00A52EF3">
              <w:rPr>
                <w:rFonts w:ascii="Times New Roman" w:hAnsi="Times New Roman" w:cs="Times New Roman"/>
                <w:szCs w:val="24"/>
              </w:rPr>
              <w:t>LP.</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szCs w:val="24"/>
              </w:rPr>
              <w:t>Miejscowość</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Liczba mieszkańców</w:t>
            </w:r>
          </w:p>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2011 r.</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Liczba mieszkańców</w:t>
            </w:r>
          </w:p>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2012 r.</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Liczba mieszkańców</w:t>
            </w:r>
          </w:p>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2013 r.</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Liczba mieszkańców</w:t>
            </w:r>
          </w:p>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2014 r.</w:t>
            </w:r>
          </w:p>
        </w:tc>
        <w:tc>
          <w:tcPr>
            <w:tcW w:w="0" w:type="auto"/>
            <w:vAlign w:val="center"/>
            <w:hideMark/>
          </w:tcPr>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Liczba mieszkańców</w:t>
            </w:r>
          </w:p>
          <w:p w:rsidR="00F24AD0" w:rsidRPr="00A52EF3" w:rsidRDefault="00F24AD0" w:rsidP="00F25FCA">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52EF3">
              <w:rPr>
                <w:rFonts w:ascii="Times New Roman" w:hAnsi="Times New Roman" w:cs="Times New Roman"/>
                <w:bCs w:val="0"/>
                <w:szCs w:val="24"/>
              </w:rPr>
              <w:t>2015 r.</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Adamów</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952</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965</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978</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967</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962</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Brody</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1699</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1702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1698</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1681</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1689</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3</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Budy Brodzkie</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157</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154</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145</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145</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139</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Bór Kunowski</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197</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200</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204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200</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205</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5</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Dziurów</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917</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926</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924</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917</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918</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6</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Jabłonna</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364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362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368</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362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353</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7</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Krynki</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1252</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1242</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1228</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1220</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1213</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8</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Kuczów</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984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982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974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983</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957</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9</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Lipie</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514</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512</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516</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512</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516</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10</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Lubienia</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1058</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1065</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1060</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1053</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1041</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11</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Młynek</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924</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933</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926</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938</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923</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Ruda</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638</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646</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657</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651</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657</w:t>
            </w:r>
          </w:p>
        </w:tc>
      </w:tr>
      <w:tr w:rsidR="00CC547F"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13</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Rudnik</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321</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319</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320</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316</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516</w:t>
            </w:r>
          </w:p>
        </w:tc>
      </w:tr>
      <w:tr w:rsidR="00CC547F"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14</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Staw Kunowski</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340</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341</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342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336</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321</w:t>
            </w:r>
          </w:p>
        </w:tc>
      </w:tr>
      <w:tr w:rsidR="00F24AD0" w:rsidRPr="00A52EF3" w:rsidTr="00F2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sz w:val="24"/>
                <w:szCs w:val="24"/>
              </w:rPr>
            </w:pPr>
            <w:r w:rsidRPr="00A52EF3">
              <w:rPr>
                <w:rFonts w:ascii="Times New Roman" w:hAnsi="Times New Roman" w:cs="Times New Roman"/>
                <w:sz w:val="24"/>
                <w:szCs w:val="24"/>
              </w:rPr>
              <w:t>15</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Styków</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759</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764</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759</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751</w:t>
            </w:r>
          </w:p>
        </w:tc>
        <w:tc>
          <w:tcPr>
            <w:tcW w:w="0" w:type="auto"/>
            <w:vAlign w:val="center"/>
            <w:hideMark/>
          </w:tcPr>
          <w:p w:rsidR="00F24AD0" w:rsidRPr="00A52EF3" w:rsidRDefault="00F24AD0" w:rsidP="00F25FCA">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752</w:t>
            </w:r>
          </w:p>
        </w:tc>
      </w:tr>
      <w:tr w:rsidR="00F24AD0" w:rsidRPr="00A52EF3" w:rsidTr="00F2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24AD0" w:rsidRPr="00A52EF3" w:rsidRDefault="00F24AD0" w:rsidP="00F25FCA">
            <w:pPr>
              <w:spacing w:before="100" w:beforeAutospacing="1" w:line="360" w:lineRule="auto"/>
              <w:jc w:val="center"/>
              <w:rPr>
                <w:rFonts w:ascii="Times New Roman" w:hAnsi="Times New Roman" w:cs="Times New Roman"/>
                <w:b w:val="0"/>
                <w:sz w:val="24"/>
                <w:szCs w:val="24"/>
              </w:rPr>
            </w:pP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RAZEM</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bCs/>
                <w:sz w:val="24"/>
                <w:szCs w:val="24"/>
              </w:rPr>
              <w:t>11076</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bCs/>
                <w:sz w:val="24"/>
                <w:szCs w:val="24"/>
              </w:rPr>
              <w:t>11113</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bCs/>
                <w:sz w:val="24"/>
                <w:szCs w:val="24"/>
              </w:rPr>
              <w:t>11099</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bCs/>
                <w:sz w:val="24"/>
                <w:szCs w:val="24"/>
              </w:rPr>
              <w:t>11032</w:t>
            </w:r>
          </w:p>
        </w:tc>
        <w:tc>
          <w:tcPr>
            <w:tcW w:w="0" w:type="auto"/>
            <w:vAlign w:val="center"/>
            <w:hideMark/>
          </w:tcPr>
          <w:p w:rsidR="00F24AD0" w:rsidRPr="00A52EF3" w:rsidRDefault="00F24AD0" w:rsidP="00F25FCA">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bCs/>
                <w:sz w:val="24"/>
                <w:szCs w:val="24"/>
              </w:rPr>
              <w:t>10968</w:t>
            </w:r>
          </w:p>
        </w:tc>
      </w:tr>
    </w:tbl>
    <w:p w:rsidR="00F24AD0" w:rsidRPr="00A52EF3" w:rsidRDefault="00F24AD0" w:rsidP="00F25FCA">
      <w:pPr>
        <w:pStyle w:val="Legenda"/>
        <w:spacing w:line="360" w:lineRule="auto"/>
        <w:rPr>
          <w:rFonts w:ascii="Times New Roman"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2</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xml:space="preserve">. </w:t>
      </w:r>
      <w:r w:rsidR="00C93BFE" w:rsidRPr="00A52EF3">
        <w:rPr>
          <w:rFonts w:ascii="Times New Roman" w:hAnsi="Times New Roman" w:cs="Times New Roman"/>
          <w:color w:val="auto"/>
        </w:rPr>
        <w:t>Liczba ludności (dane: Urząd Gminy)</w:t>
      </w:r>
    </w:p>
    <w:p w:rsidR="00B23865" w:rsidRPr="00A52EF3" w:rsidRDefault="00B23865" w:rsidP="00F25FCA">
      <w:pPr>
        <w:spacing w:line="360" w:lineRule="auto"/>
        <w:rPr>
          <w:rFonts w:ascii="Times New Roman" w:hAnsi="Times New Roman" w:cs="Times New Roman"/>
        </w:rPr>
      </w:pPr>
    </w:p>
    <w:p w:rsidR="00590A74" w:rsidRPr="00A52EF3" w:rsidRDefault="00B23865" w:rsidP="00F25FCA">
      <w:pPr>
        <w:keepNext/>
        <w:spacing w:line="360" w:lineRule="auto"/>
        <w:jc w:val="center"/>
        <w:rPr>
          <w:rFonts w:ascii="Times New Roman" w:hAnsi="Times New Roman" w:cs="Times New Roman"/>
        </w:rPr>
      </w:pPr>
      <w:r w:rsidRPr="00A52EF3">
        <w:rPr>
          <w:rFonts w:ascii="Times New Roman" w:hAnsi="Times New Roman" w:cs="Times New Roman"/>
          <w:b/>
          <w:noProof/>
          <w:lang w:eastAsia="pl-PL"/>
        </w:rPr>
        <w:lastRenderedPageBreak/>
        <w:drawing>
          <wp:inline distT="0" distB="0" distL="0" distR="0" wp14:anchorId="1DB296D8" wp14:editId="67519350">
            <wp:extent cx="4829175" cy="24574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3BFE" w:rsidRPr="00A52EF3" w:rsidRDefault="00590A74" w:rsidP="008F14EE">
      <w:pPr>
        <w:pStyle w:val="Legenda"/>
        <w:spacing w:line="360" w:lineRule="auto"/>
        <w:jc w:val="center"/>
        <w:rPr>
          <w:rFonts w:ascii="Times New Roman" w:hAnsi="Times New Roman" w:cs="Times New Roman"/>
          <w:color w:val="auto"/>
        </w:rPr>
      </w:pPr>
      <w:r w:rsidRPr="00A52EF3">
        <w:rPr>
          <w:rFonts w:ascii="Times New Roman" w:hAnsi="Times New Roman" w:cs="Times New Roman"/>
          <w:color w:val="auto"/>
        </w:rPr>
        <w:t xml:space="preserve">Wykres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Wykres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1</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xml:space="preserve">. </w:t>
      </w:r>
      <w:r w:rsidR="00C93BFE" w:rsidRPr="00A52EF3">
        <w:rPr>
          <w:rFonts w:ascii="Times New Roman" w:hAnsi="Times New Roman" w:cs="Times New Roman"/>
          <w:color w:val="auto"/>
        </w:rPr>
        <w:t>Liczba ludności (dane: Urząd Gminy)</w:t>
      </w:r>
    </w:p>
    <w:p w:rsidR="00590A74" w:rsidRPr="00A52EF3" w:rsidRDefault="00E10E35" w:rsidP="008F14EE">
      <w:pPr>
        <w:keepNext/>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3F8D62C4" wp14:editId="2E12D8F7">
            <wp:extent cx="5095875" cy="467677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4AD0" w:rsidRPr="00A52EF3" w:rsidRDefault="00590A74" w:rsidP="008F14EE">
      <w:pPr>
        <w:pStyle w:val="Legenda"/>
        <w:spacing w:line="360" w:lineRule="auto"/>
        <w:jc w:val="center"/>
        <w:rPr>
          <w:rFonts w:ascii="Times New Roman" w:hAnsi="Times New Roman" w:cs="Times New Roman"/>
          <w:color w:val="auto"/>
        </w:rPr>
      </w:pPr>
      <w:r w:rsidRPr="00A52EF3">
        <w:rPr>
          <w:rFonts w:ascii="Times New Roman" w:hAnsi="Times New Roman" w:cs="Times New Roman"/>
          <w:color w:val="auto"/>
        </w:rPr>
        <w:t xml:space="preserve">Wykres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Wykres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2</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xml:space="preserve">. </w:t>
      </w:r>
      <w:r w:rsidR="00C93BFE" w:rsidRPr="00A52EF3">
        <w:rPr>
          <w:rFonts w:ascii="Times New Roman" w:hAnsi="Times New Roman" w:cs="Times New Roman"/>
          <w:color w:val="auto"/>
        </w:rPr>
        <w:t>Struktura wieku i płci w Gminie Brody (dane: BDL GUS, I kwartał 2016 roku)</w:t>
      </w:r>
    </w:p>
    <w:p w:rsidR="00E10E35" w:rsidRPr="00A52EF3" w:rsidRDefault="00E10E35" w:rsidP="00F61B30">
      <w:pPr>
        <w:pStyle w:val="Nagwek2"/>
        <w:numPr>
          <w:ilvl w:val="1"/>
          <w:numId w:val="86"/>
        </w:numPr>
        <w:spacing w:after="240" w:line="360" w:lineRule="auto"/>
        <w:rPr>
          <w:rFonts w:ascii="Times New Roman" w:hAnsi="Times New Roman" w:cs="Times New Roman"/>
          <w:color w:val="auto"/>
        </w:rPr>
      </w:pPr>
      <w:bookmarkStart w:id="14" w:name="_Toc451417893"/>
      <w:bookmarkStart w:id="15" w:name="_Toc470763990"/>
      <w:r w:rsidRPr="00A52EF3">
        <w:rPr>
          <w:rFonts w:ascii="Times New Roman" w:hAnsi="Times New Roman" w:cs="Times New Roman"/>
          <w:color w:val="auto"/>
        </w:rPr>
        <w:lastRenderedPageBreak/>
        <w:t>Działalność gospodarcza</w:t>
      </w:r>
      <w:bookmarkEnd w:id="14"/>
      <w:bookmarkEnd w:id="15"/>
    </w:p>
    <w:p w:rsidR="00E10E35" w:rsidRPr="00A52EF3" w:rsidRDefault="00E10E35" w:rsidP="00F25FCA">
      <w:pPr>
        <w:spacing w:after="0" w:line="360" w:lineRule="auto"/>
        <w:ind w:firstLine="709"/>
        <w:jc w:val="both"/>
        <w:rPr>
          <w:rFonts w:ascii="Times New Roman" w:hAnsi="Times New Roman" w:cs="Times New Roman"/>
          <w:sz w:val="24"/>
          <w:szCs w:val="24"/>
        </w:rPr>
      </w:pPr>
      <w:r w:rsidRPr="00A52EF3">
        <w:rPr>
          <w:rFonts w:ascii="Times New Roman" w:hAnsi="Times New Roman" w:cs="Times New Roman"/>
          <w:sz w:val="24"/>
          <w:szCs w:val="24"/>
        </w:rPr>
        <w:t xml:space="preserve">Liczba zarejestrowanych aktywnych podmiotów prowadzących działalność gospodarczą w Gminie Brody, po przeważającym kodzie PKD (Polska Klasyfikacja Działalności) sekcji działalności gospodarczej (stan na </w:t>
      </w:r>
      <w:r w:rsidR="00182AEC" w:rsidRPr="00A52EF3">
        <w:rPr>
          <w:rFonts w:ascii="Times New Roman" w:hAnsi="Times New Roman" w:cs="Times New Roman"/>
          <w:sz w:val="24"/>
          <w:szCs w:val="24"/>
        </w:rPr>
        <w:t xml:space="preserve">koniec III kwartału </w:t>
      </w:r>
      <w:r w:rsidRPr="00A52EF3">
        <w:rPr>
          <w:rFonts w:ascii="Times New Roman" w:hAnsi="Times New Roman" w:cs="Times New Roman"/>
          <w:sz w:val="24"/>
          <w:szCs w:val="24"/>
        </w:rPr>
        <w:t>201</w:t>
      </w:r>
      <w:r w:rsidR="00964A10" w:rsidRPr="00A52EF3">
        <w:rPr>
          <w:rFonts w:ascii="Times New Roman" w:hAnsi="Times New Roman" w:cs="Times New Roman"/>
          <w:sz w:val="24"/>
          <w:szCs w:val="24"/>
        </w:rPr>
        <w:t>5</w:t>
      </w:r>
      <w:r w:rsidRPr="00A52EF3">
        <w:rPr>
          <w:rFonts w:ascii="Times New Roman" w:hAnsi="Times New Roman" w:cs="Times New Roman"/>
          <w:sz w:val="24"/>
          <w:szCs w:val="24"/>
        </w:rPr>
        <w:t xml:space="preserve"> r.)</w:t>
      </w:r>
    </w:p>
    <w:p w:rsidR="00E10E35" w:rsidRPr="00A52EF3" w:rsidRDefault="00E10E35" w:rsidP="008F14EE">
      <w:pPr>
        <w:spacing w:after="0" w:line="360" w:lineRule="auto"/>
        <w:jc w:val="both"/>
        <w:rPr>
          <w:rFonts w:ascii="Times New Roman" w:hAnsi="Times New Roman" w:cs="Times New Roman"/>
          <w:sz w:val="24"/>
          <w:szCs w:val="24"/>
        </w:rPr>
      </w:pPr>
    </w:p>
    <w:tbl>
      <w:tblPr>
        <w:tblW w:w="5098"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637"/>
        <w:gridCol w:w="7214"/>
        <w:gridCol w:w="1609"/>
      </w:tblGrid>
      <w:tr w:rsidR="00DD1F74" w:rsidRPr="00A52EF3" w:rsidTr="00E10E35">
        <w:trPr>
          <w:cantSplit/>
          <w:trHeight w:val="632"/>
          <w:jc w:val="center"/>
        </w:trPr>
        <w:tc>
          <w:tcPr>
            <w:tcW w:w="4096" w:type="pct"/>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Kod sekcji PKD</w:t>
            </w:r>
          </w:p>
        </w:tc>
        <w:tc>
          <w:tcPr>
            <w:tcW w:w="904" w:type="pc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Ilość działalności</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A</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68"/>
              <w:jc w:val="center"/>
              <w:rPr>
                <w:rFonts w:ascii="Times New Roman" w:hAnsi="Times New Roman" w:cs="Times New Roman"/>
                <w:sz w:val="24"/>
                <w:szCs w:val="24"/>
              </w:rPr>
            </w:pPr>
            <w:r w:rsidRPr="00A52EF3">
              <w:rPr>
                <w:rFonts w:ascii="Times New Roman" w:hAnsi="Times New Roman" w:cs="Times New Roman"/>
                <w:sz w:val="24"/>
                <w:szCs w:val="24"/>
              </w:rPr>
              <w:t>ROLNICTWO, LEŚNICTWO, ŁOWIECTWO I RYBACTWO</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49</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B</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hd w:val="clear" w:color="auto" w:fill="FFFFFF"/>
              <w:spacing w:after="0" w:line="360" w:lineRule="auto"/>
              <w:ind w:left="68"/>
              <w:jc w:val="center"/>
              <w:rPr>
                <w:rFonts w:ascii="Times New Roman" w:hAnsi="Times New Roman" w:cs="Times New Roman"/>
                <w:sz w:val="24"/>
                <w:szCs w:val="24"/>
              </w:rPr>
            </w:pPr>
            <w:r w:rsidRPr="00A52EF3">
              <w:rPr>
                <w:rFonts w:ascii="Times New Roman" w:hAnsi="Times New Roman" w:cs="Times New Roman"/>
                <w:sz w:val="24"/>
                <w:szCs w:val="24"/>
              </w:rPr>
              <w:t>GÓRNICTWO I WYDOBYWANIE</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C</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68"/>
              <w:jc w:val="center"/>
              <w:rPr>
                <w:rFonts w:ascii="Times New Roman" w:hAnsi="Times New Roman" w:cs="Times New Roman"/>
                <w:sz w:val="24"/>
                <w:szCs w:val="24"/>
              </w:rPr>
            </w:pPr>
            <w:r w:rsidRPr="00A52EF3">
              <w:rPr>
                <w:rFonts w:ascii="Times New Roman" w:hAnsi="Times New Roman" w:cs="Times New Roman"/>
                <w:sz w:val="24"/>
                <w:szCs w:val="24"/>
              </w:rPr>
              <w:t>PRZETWÓRSTWO PRZEMYSŁOWE</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64</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D</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68"/>
              <w:jc w:val="center"/>
              <w:rPr>
                <w:rFonts w:ascii="Times New Roman" w:hAnsi="Times New Roman" w:cs="Times New Roman"/>
                <w:sz w:val="24"/>
                <w:szCs w:val="24"/>
              </w:rPr>
            </w:pPr>
            <w:r w:rsidRPr="00A52EF3">
              <w:rPr>
                <w:rFonts w:ascii="Times New Roman" w:hAnsi="Times New Roman" w:cs="Times New Roman"/>
                <w:sz w:val="24"/>
                <w:szCs w:val="24"/>
              </w:rPr>
              <w:t xml:space="preserve">WYTWARZANIE I ZAOPATRYWANIE W ENERGIĘ ELEKTRYCZNĄ, GAZ, PARĘ WODNĄ, GORĄCĄ WODĘ </w:t>
            </w:r>
            <w:r w:rsidRPr="00A52EF3">
              <w:rPr>
                <w:rFonts w:ascii="Times New Roman" w:hAnsi="Times New Roman" w:cs="Times New Roman"/>
                <w:sz w:val="24"/>
                <w:szCs w:val="24"/>
              </w:rPr>
              <w:br/>
              <w:t>I POWIETRZE DO UKŁADÓW KLIMATYZACYJNYCH</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68"/>
              <w:jc w:val="center"/>
              <w:rPr>
                <w:rFonts w:ascii="Times New Roman" w:hAnsi="Times New Roman" w:cs="Times New Roman"/>
                <w:sz w:val="24"/>
                <w:szCs w:val="24"/>
              </w:rPr>
            </w:pPr>
            <w:r w:rsidRPr="00A52EF3">
              <w:rPr>
                <w:rFonts w:ascii="Times New Roman" w:hAnsi="Times New Roman" w:cs="Times New Roman"/>
                <w:sz w:val="24"/>
                <w:szCs w:val="24"/>
              </w:rPr>
              <w:t xml:space="preserve">DOSTAWA WODY; GOSPODAROWANIE ŚCIEKAMI </w:t>
            </w:r>
            <w:r w:rsidRPr="00A52EF3">
              <w:rPr>
                <w:rFonts w:ascii="Times New Roman" w:hAnsi="Times New Roman" w:cs="Times New Roman"/>
                <w:sz w:val="24"/>
                <w:szCs w:val="24"/>
              </w:rPr>
              <w:br/>
              <w:t>I ODPADAMI O</w:t>
            </w:r>
            <w:r w:rsidR="00182AEC" w:rsidRPr="00A52EF3">
              <w:rPr>
                <w:rFonts w:ascii="Times New Roman" w:hAnsi="Times New Roman" w:cs="Times New Roman"/>
                <w:sz w:val="24"/>
                <w:szCs w:val="24"/>
              </w:rPr>
              <w:t xml:space="preserve">RAZ DZIAŁALNOŚĆ ZWIĄZANA </w:t>
            </w:r>
            <w:r w:rsidR="00182AEC" w:rsidRPr="00A52EF3">
              <w:rPr>
                <w:rFonts w:ascii="Times New Roman" w:hAnsi="Times New Roman" w:cs="Times New Roman"/>
                <w:sz w:val="24"/>
                <w:szCs w:val="24"/>
              </w:rPr>
              <w:br/>
            </w:r>
            <w:r w:rsidRPr="00A52EF3">
              <w:rPr>
                <w:rFonts w:ascii="Times New Roman" w:hAnsi="Times New Roman" w:cs="Times New Roman"/>
                <w:sz w:val="24"/>
                <w:szCs w:val="24"/>
              </w:rPr>
              <w:t>Z REKULTYWACJĄ</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3</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F</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BUDOWNICTWO</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118</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G</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HANDEL HURTOWY I DETALICZNY; NAPRAWA POJAZDÓW SAMOCHODOWYCH, WŁĄCZAJĄC MOTOCYKLE</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166</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H</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TRANSPORT I GOSPODARKA MAGAZYNOWA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35</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I</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DZIAŁALNOŚĆ ZWIĄZANA Z ZAKWATEROWANIEM </w:t>
            </w:r>
            <w:r w:rsidRPr="00A52EF3">
              <w:rPr>
                <w:rFonts w:ascii="Times New Roman" w:hAnsi="Times New Roman" w:cs="Times New Roman"/>
                <w:sz w:val="24"/>
                <w:szCs w:val="24"/>
              </w:rPr>
              <w:br/>
              <w:t>I USŁUGAMI GASTRONOMICZNYMI</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14</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J</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INFORMACJA I KOMUNIKACJA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8</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K</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DZIAŁALNOŚĆ FINANSOWA I UBEZPIECZENIOWA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24</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L</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DZIAŁALNOŚĆ ZWIĄZANA Z OBSŁUGĄ RYNKU NIERUCHOMOŚCI</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3</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70"/>
              <w:jc w:val="center"/>
              <w:rPr>
                <w:rFonts w:ascii="Times New Roman" w:hAnsi="Times New Roman" w:cs="Times New Roman"/>
                <w:sz w:val="24"/>
                <w:szCs w:val="24"/>
              </w:rPr>
            </w:pPr>
            <w:r w:rsidRPr="00A52EF3">
              <w:rPr>
                <w:rFonts w:ascii="Times New Roman" w:hAnsi="Times New Roman" w:cs="Times New Roman"/>
                <w:sz w:val="24"/>
                <w:szCs w:val="24"/>
              </w:rPr>
              <w:t>DZIAŁALNOŚĆ PROFESJONALNA, NAUKOWA I TECHNICZNA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28</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DZIAŁALNOŚĆ W ZAKRESIE USŁUG ADMINISTROWANIA </w:t>
            </w:r>
            <w:r w:rsidRPr="00A52EF3">
              <w:rPr>
                <w:rFonts w:ascii="Times New Roman" w:hAnsi="Times New Roman" w:cs="Times New Roman"/>
                <w:sz w:val="24"/>
                <w:szCs w:val="24"/>
              </w:rPr>
              <w:br/>
              <w:t>I DZIAŁALNOŚĆ WSPIERAJĄCA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lastRenderedPageBreak/>
              <w:t>O</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ADMINISTRACJA PUBLICZNA I OBRONA NARODOWA; OBOWIĄZKOWE ZABEZPIECZENIA SPOŁECZNE</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7</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P</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EDUKACJA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182AEC"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28</w:t>
            </w:r>
          </w:p>
        </w:tc>
      </w:tr>
      <w:tr w:rsidR="00DD1F74"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Q</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OPIEKA ZDROWOTNA I POMOC SPOŁECZNA</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28</w:t>
            </w:r>
          </w:p>
        </w:tc>
      </w:tr>
      <w:tr w:rsidR="00CC547F" w:rsidRPr="00A52EF3" w:rsidTr="00182AEC">
        <w:trPr>
          <w:cantSplit/>
          <w:jc w:val="center"/>
        </w:trPr>
        <w:tc>
          <w:tcPr>
            <w:tcW w:w="2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R</w:t>
            </w:r>
          </w:p>
        </w:tc>
        <w:tc>
          <w:tcPr>
            <w:tcW w:w="3867"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hd w:val="clear" w:color="auto" w:fill="FFFFFF"/>
              <w:spacing w:after="0" w:line="360" w:lineRule="auto"/>
              <w:ind w:left="70"/>
              <w:jc w:val="center"/>
              <w:rPr>
                <w:rFonts w:ascii="Times New Roman" w:hAnsi="Times New Roman" w:cs="Times New Roman"/>
                <w:sz w:val="24"/>
                <w:szCs w:val="24"/>
              </w:rPr>
            </w:pPr>
            <w:r w:rsidRPr="00A52EF3">
              <w:rPr>
                <w:rFonts w:ascii="Times New Roman" w:hAnsi="Times New Roman" w:cs="Times New Roman"/>
                <w:sz w:val="24"/>
                <w:szCs w:val="24"/>
              </w:rPr>
              <w:t xml:space="preserve">DZIAŁALNOŚĆ ZWIĄZANA Z KULTURĄ, ROZRYWKĄ </w:t>
            </w:r>
            <w:r w:rsidRPr="00A52EF3">
              <w:rPr>
                <w:rFonts w:ascii="Times New Roman" w:hAnsi="Times New Roman" w:cs="Times New Roman"/>
                <w:sz w:val="24"/>
                <w:szCs w:val="24"/>
              </w:rPr>
              <w:br/>
              <w:t>I REKREACJĄ</w:t>
            </w:r>
          </w:p>
        </w:tc>
        <w:tc>
          <w:tcPr>
            <w:tcW w:w="904"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15</w:t>
            </w:r>
          </w:p>
        </w:tc>
      </w:tr>
      <w:tr w:rsidR="00CC547F" w:rsidRPr="00A52EF3" w:rsidTr="00182AEC">
        <w:trPr>
          <w:cantSplit/>
          <w:jc w:val="center"/>
        </w:trPr>
        <w:tc>
          <w:tcPr>
            <w:tcW w:w="229"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S</w:t>
            </w:r>
            <w:r w:rsidR="00182AEC" w:rsidRPr="00A52EF3">
              <w:rPr>
                <w:rFonts w:ascii="Times New Roman" w:hAnsi="Times New Roman" w:cs="Times New Roman"/>
                <w:b/>
                <w:sz w:val="24"/>
                <w:szCs w:val="24"/>
              </w:rPr>
              <w:t>+T</w:t>
            </w:r>
          </w:p>
        </w:tc>
        <w:tc>
          <w:tcPr>
            <w:tcW w:w="3867"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POZOSTAŁA DZIAŁALNOŚĆ USŁUGOWA</w:t>
            </w:r>
            <w:r w:rsidR="00182AEC" w:rsidRPr="00A52EF3">
              <w:rPr>
                <w:rFonts w:ascii="Times New Roman" w:hAnsi="Times New Roman" w:cs="Times New Roman"/>
                <w:sz w:val="24"/>
                <w:szCs w:val="24"/>
              </w:rPr>
              <w:t xml:space="preserve"> + GOSPODARSTWA DOMOWE ZATRUDNIAJĄCE PRACOWNIKÓW; GOSPODARSTWA DOMOWE PRODUKUJĄCE WYROBY </w:t>
            </w:r>
            <w:r w:rsidR="00182AEC" w:rsidRPr="00A52EF3">
              <w:rPr>
                <w:rFonts w:ascii="Times New Roman" w:hAnsi="Times New Roman" w:cs="Times New Roman"/>
                <w:sz w:val="24"/>
                <w:szCs w:val="24"/>
              </w:rPr>
              <w:br/>
              <w:t>I ŚWIADCZĄCEUSŁUGI NA WŁASNE POTRZEBY</w:t>
            </w:r>
          </w:p>
        </w:tc>
        <w:tc>
          <w:tcPr>
            <w:tcW w:w="904" w:type="pct"/>
            <w:tcBorders>
              <w:top w:val="single" w:sz="4" w:space="0" w:color="00000A"/>
              <w:left w:val="single" w:sz="4" w:space="0" w:color="00000A"/>
              <w:bottom w:val="single" w:sz="12" w:space="0" w:color="000001"/>
              <w:right w:val="single" w:sz="4" w:space="0" w:color="00000A"/>
            </w:tcBorders>
            <w:shd w:val="clear" w:color="auto" w:fill="auto"/>
            <w:tcMar>
              <w:left w:w="98" w:type="dxa"/>
            </w:tcMar>
            <w:vAlign w:val="center"/>
          </w:tcPr>
          <w:p w:rsidR="00E10E35" w:rsidRPr="00A52EF3" w:rsidRDefault="00182AE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62</w:t>
            </w:r>
          </w:p>
        </w:tc>
      </w:tr>
      <w:tr w:rsidR="00DD1F74" w:rsidRPr="00A52EF3" w:rsidTr="00182AEC">
        <w:trPr>
          <w:cantSplit/>
          <w:jc w:val="center"/>
        </w:trPr>
        <w:tc>
          <w:tcPr>
            <w:tcW w:w="4096" w:type="pct"/>
            <w:gridSpan w:val="2"/>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E10E35"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SUMA</w:t>
            </w:r>
          </w:p>
        </w:tc>
        <w:tc>
          <w:tcPr>
            <w:tcW w:w="904" w:type="pct"/>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E10E35" w:rsidRPr="00A52EF3" w:rsidRDefault="00182AEC" w:rsidP="00C93BFE">
            <w:pPr>
              <w:keepNext/>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680</w:t>
            </w:r>
          </w:p>
        </w:tc>
      </w:tr>
    </w:tbl>
    <w:p w:rsidR="00E10E35" w:rsidRPr="00A52EF3" w:rsidRDefault="00C93BFE" w:rsidP="00C93BFE">
      <w:pPr>
        <w:pStyle w:val="Legenda"/>
        <w:rPr>
          <w:rFonts w:ascii="Times New Roman" w:hAnsi="Times New Roman" w:cs="Times New Roman"/>
          <w:color w:val="auto"/>
          <w:sz w:val="24"/>
          <w:szCs w:val="24"/>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3</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Działalność gospodarcza (dane: BDL GUS, III kwartał 2015 roku)</w:t>
      </w:r>
    </w:p>
    <w:p w:rsidR="00C93BFE" w:rsidRPr="00A52EF3" w:rsidRDefault="00C93BFE" w:rsidP="00F25FCA">
      <w:pPr>
        <w:pStyle w:val="Nagwek2"/>
        <w:spacing w:after="240" w:line="360" w:lineRule="auto"/>
        <w:rPr>
          <w:rFonts w:ascii="Times New Roman" w:hAnsi="Times New Roman" w:cs="Times New Roman"/>
          <w:color w:val="auto"/>
        </w:rPr>
      </w:pPr>
    </w:p>
    <w:p w:rsidR="00E10E35" w:rsidRPr="00A52EF3" w:rsidRDefault="00F6566B" w:rsidP="00F61B30">
      <w:pPr>
        <w:pStyle w:val="Nagwek2"/>
        <w:numPr>
          <w:ilvl w:val="1"/>
          <w:numId w:val="86"/>
        </w:numPr>
        <w:spacing w:after="240" w:line="360" w:lineRule="auto"/>
        <w:rPr>
          <w:rFonts w:ascii="Times New Roman" w:hAnsi="Times New Roman" w:cs="Times New Roman"/>
          <w:color w:val="auto"/>
        </w:rPr>
      </w:pPr>
      <w:bookmarkStart w:id="16" w:name="_Toc470763991"/>
      <w:r w:rsidRPr="00A52EF3">
        <w:rPr>
          <w:rFonts w:ascii="Times New Roman" w:hAnsi="Times New Roman" w:cs="Times New Roman"/>
          <w:color w:val="auto"/>
        </w:rPr>
        <w:t>Duże zakłady przemysłowe w Gminie Brody</w:t>
      </w:r>
      <w:bookmarkEnd w:id="16"/>
    </w:p>
    <w:p w:rsidR="00F6566B"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Tomasz Wierzbicki </w:t>
      </w:r>
    </w:p>
    <w:p w:rsidR="00F6566B" w:rsidRPr="00A52EF3" w:rsidRDefault="00F6566B" w:rsidP="00F25FCA">
      <w:pPr>
        <w:pStyle w:val="NormalnyWeb"/>
        <w:shd w:val="clear" w:color="auto" w:fill="FFFFFF"/>
        <w:spacing w:before="0" w:beforeAutospacing="0" w:after="0" w:afterAutospacing="0" w:line="360" w:lineRule="auto"/>
      </w:pPr>
      <w:r w:rsidRPr="00A52EF3">
        <w:t>F.H.U.</w:t>
      </w:r>
      <w:r w:rsidR="00964A10" w:rsidRPr="00A52EF3">
        <w:t xml:space="preserve"> </w:t>
      </w:r>
      <w:r w:rsidRPr="00A52EF3">
        <w:t xml:space="preserve">Wierzbicki </w:t>
      </w:r>
    </w:p>
    <w:p w:rsidR="007C0F7D" w:rsidRPr="00A52EF3" w:rsidRDefault="007C0F7D" w:rsidP="00F25FCA">
      <w:pPr>
        <w:pStyle w:val="NormalnyWeb"/>
        <w:shd w:val="clear" w:color="auto" w:fill="FFFFFF"/>
        <w:spacing w:before="0" w:beforeAutospacing="0" w:after="0" w:afterAutospacing="0" w:line="360" w:lineRule="auto"/>
      </w:pPr>
      <w:r w:rsidRPr="00A52EF3">
        <w:t>Brody ul. Starachowicka 35</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7C0F7D"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Tomasz Budzyń </w:t>
      </w:r>
    </w:p>
    <w:p w:rsidR="00F6566B" w:rsidRPr="00A52EF3" w:rsidRDefault="007C0F7D" w:rsidP="00F25FCA">
      <w:pPr>
        <w:pStyle w:val="NormalnyWeb"/>
        <w:shd w:val="clear" w:color="auto" w:fill="FFFFFF"/>
        <w:spacing w:before="0" w:beforeAutospacing="0" w:after="0" w:afterAutospacing="0" w:line="360" w:lineRule="auto"/>
      </w:pPr>
      <w:r w:rsidRPr="00A52EF3">
        <w:t xml:space="preserve">Przedsiębiorstwo Wielobranżowe </w:t>
      </w:r>
      <w:r w:rsidR="006D4C75" w:rsidRPr="00A52EF3">
        <w:t>„Budzyń”</w:t>
      </w:r>
    </w:p>
    <w:p w:rsidR="00F6566B" w:rsidRPr="00A52EF3" w:rsidRDefault="00F6566B" w:rsidP="00F25FCA">
      <w:pPr>
        <w:pStyle w:val="NormalnyWeb"/>
        <w:shd w:val="clear" w:color="auto" w:fill="FFFFFF"/>
        <w:spacing w:before="0" w:beforeAutospacing="0" w:after="0" w:afterAutospacing="0" w:line="360" w:lineRule="auto"/>
      </w:pPr>
      <w:r w:rsidRPr="00A52EF3">
        <w:t>Krynki ul. Górna70</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6D4C75" w:rsidRPr="00A52EF3" w:rsidRDefault="006D4C75" w:rsidP="00F25FCA">
      <w:pPr>
        <w:pStyle w:val="NormalnyWeb"/>
        <w:numPr>
          <w:ilvl w:val="0"/>
          <w:numId w:val="24"/>
        </w:numPr>
        <w:shd w:val="clear" w:color="auto" w:fill="FFFFFF"/>
        <w:spacing w:before="0" w:beforeAutospacing="0" w:after="0" w:afterAutospacing="0" w:line="360" w:lineRule="auto"/>
      </w:pPr>
      <w:r w:rsidRPr="00A52EF3">
        <w:t xml:space="preserve">Szymon Zawłocki </w:t>
      </w:r>
    </w:p>
    <w:p w:rsidR="006D4C75" w:rsidRPr="00A52EF3" w:rsidRDefault="007C0F7D" w:rsidP="00F25FCA">
      <w:pPr>
        <w:pStyle w:val="NormalnyWeb"/>
        <w:shd w:val="clear" w:color="auto" w:fill="FFFFFF"/>
        <w:spacing w:before="0" w:beforeAutospacing="0" w:after="0" w:afterAutospacing="0" w:line="360" w:lineRule="auto"/>
        <w:rPr>
          <w:lang w:val="en-US"/>
        </w:rPr>
      </w:pPr>
      <w:r w:rsidRPr="00A52EF3">
        <w:rPr>
          <w:lang w:val="en-US"/>
        </w:rPr>
        <w:t xml:space="preserve">P.P.H.U. " BOTIGA " </w:t>
      </w:r>
    </w:p>
    <w:p w:rsidR="007C0F7D" w:rsidRPr="00A52EF3" w:rsidRDefault="007C0F7D" w:rsidP="00F25FCA">
      <w:pPr>
        <w:pStyle w:val="NormalnyWeb"/>
        <w:shd w:val="clear" w:color="auto" w:fill="FFFFFF"/>
        <w:spacing w:before="0" w:beforeAutospacing="0" w:after="0" w:afterAutospacing="0" w:line="360" w:lineRule="auto"/>
      </w:pPr>
      <w:r w:rsidRPr="00A52EF3">
        <w:t>Ruda ul.</w:t>
      </w:r>
      <w:r w:rsidR="00964A10" w:rsidRPr="00A52EF3">
        <w:t xml:space="preserve"> </w:t>
      </w:r>
      <w:r w:rsidRPr="00A52EF3">
        <w:t>Widok 19</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8F14EE" w:rsidRPr="00A52EF3" w:rsidRDefault="008F14EE" w:rsidP="00F25FCA">
      <w:pPr>
        <w:pStyle w:val="NormalnyWeb"/>
        <w:shd w:val="clear" w:color="auto" w:fill="FFFFFF"/>
        <w:spacing w:before="0" w:beforeAutospacing="0" w:after="120" w:afterAutospacing="0" w:line="360" w:lineRule="auto"/>
      </w:pPr>
    </w:p>
    <w:p w:rsidR="008F14EE" w:rsidRPr="00A52EF3" w:rsidRDefault="008F14EE" w:rsidP="00F25FCA">
      <w:pPr>
        <w:pStyle w:val="NormalnyWeb"/>
        <w:shd w:val="clear" w:color="auto" w:fill="FFFFFF"/>
        <w:spacing w:before="0" w:beforeAutospacing="0" w:after="120" w:afterAutospacing="0" w:line="360" w:lineRule="auto"/>
      </w:pPr>
    </w:p>
    <w:p w:rsidR="006D4C75" w:rsidRPr="00A52EF3" w:rsidRDefault="007C0F7D" w:rsidP="00F25FCA">
      <w:pPr>
        <w:pStyle w:val="NormalnyWeb"/>
        <w:numPr>
          <w:ilvl w:val="0"/>
          <w:numId w:val="24"/>
        </w:numPr>
        <w:shd w:val="clear" w:color="auto" w:fill="FFFFFF"/>
        <w:spacing w:before="0" w:beforeAutospacing="0" w:after="0" w:afterAutospacing="0" w:line="360" w:lineRule="auto"/>
      </w:pPr>
      <w:r w:rsidRPr="00A52EF3">
        <w:lastRenderedPageBreak/>
        <w:t xml:space="preserve">Edyta Przygoda </w:t>
      </w:r>
    </w:p>
    <w:p w:rsidR="006D4C75" w:rsidRPr="00A52EF3" w:rsidRDefault="007C0F7D" w:rsidP="00F25FCA">
      <w:pPr>
        <w:pStyle w:val="NormalnyWeb"/>
        <w:shd w:val="clear" w:color="auto" w:fill="FFFFFF"/>
        <w:spacing w:before="0" w:beforeAutospacing="0" w:after="0" w:afterAutospacing="0" w:line="360" w:lineRule="auto"/>
      </w:pPr>
      <w:r w:rsidRPr="00A52EF3">
        <w:t xml:space="preserve">WILLA ROSOCHACZ </w:t>
      </w:r>
    </w:p>
    <w:p w:rsidR="006D4C75" w:rsidRPr="00A52EF3" w:rsidRDefault="006D4C75" w:rsidP="00F25FCA">
      <w:pPr>
        <w:pStyle w:val="NormalnyWeb"/>
        <w:shd w:val="clear" w:color="auto" w:fill="FFFFFF"/>
        <w:spacing w:before="0" w:beforeAutospacing="0" w:after="0" w:afterAutospacing="0" w:line="360" w:lineRule="auto"/>
      </w:pPr>
      <w:r w:rsidRPr="00A52EF3">
        <w:t>Lipie 1</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6D4C75"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Przemysław Samburski </w:t>
      </w:r>
    </w:p>
    <w:p w:rsidR="006D4C75" w:rsidRPr="00A52EF3" w:rsidRDefault="006D4C75" w:rsidP="00F25FCA">
      <w:pPr>
        <w:pStyle w:val="NormalnyWeb"/>
        <w:shd w:val="clear" w:color="auto" w:fill="FFFFFF"/>
        <w:spacing w:before="0" w:beforeAutospacing="0" w:after="0" w:afterAutospacing="0" w:line="360" w:lineRule="auto"/>
      </w:pPr>
      <w:r w:rsidRPr="00A52EF3">
        <w:t xml:space="preserve">Świat Dachów DACHSPID </w:t>
      </w:r>
    </w:p>
    <w:p w:rsidR="007C0F7D" w:rsidRPr="00A52EF3" w:rsidRDefault="007C0F7D" w:rsidP="00F25FCA">
      <w:pPr>
        <w:pStyle w:val="NormalnyWeb"/>
        <w:shd w:val="clear" w:color="auto" w:fill="FFFFFF"/>
        <w:spacing w:before="0" w:beforeAutospacing="0" w:after="0" w:afterAutospacing="0" w:line="360" w:lineRule="auto"/>
      </w:pPr>
      <w:r w:rsidRPr="00A52EF3">
        <w:t>Styków ul.</w:t>
      </w:r>
      <w:r w:rsidR="00964A10" w:rsidRPr="00A52EF3">
        <w:t xml:space="preserve"> </w:t>
      </w:r>
      <w:r w:rsidRPr="00A52EF3">
        <w:t>Słoneczna 16</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7C0F7D"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Mirosław Świrta </w:t>
      </w:r>
    </w:p>
    <w:p w:rsidR="002D51D1" w:rsidRPr="00A52EF3" w:rsidRDefault="007C0F7D" w:rsidP="00F25FCA">
      <w:pPr>
        <w:pStyle w:val="NormalnyWeb"/>
        <w:shd w:val="clear" w:color="auto" w:fill="FFFFFF"/>
        <w:spacing w:before="0" w:beforeAutospacing="0" w:after="0" w:afterAutospacing="0" w:line="360" w:lineRule="auto"/>
      </w:pPr>
      <w:r w:rsidRPr="00A52EF3">
        <w:t xml:space="preserve">Zakład Usług Leśnych LEŚNIK </w:t>
      </w:r>
    </w:p>
    <w:p w:rsidR="002D51D1" w:rsidRPr="00A52EF3" w:rsidRDefault="002D51D1" w:rsidP="00F25FCA">
      <w:pPr>
        <w:pStyle w:val="NormalnyWeb"/>
        <w:shd w:val="clear" w:color="auto" w:fill="FFFFFF"/>
        <w:spacing w:before="0" w:beforeAutospacing="0" w:after="0" w:afterAutospacing="0" w:line="360" w:lineRule="auto"/>
      </w:pPr>
      <w:r w:rsidRPr="00A52EF3">
        <w:t>Krynki ul.</w:t>
      </w:r>
      <w:r w:rsidR="00964A10" w:rsidRPr="00A52EF3">
        <w:t xml:space="preserve"> </w:t>
      </w:r>
      <w:r w:rsidRPr="00A52EF3">
        <w:t>Ostrowiecka 7</w:t>
      </w:r>
    </w:p>
    <w:p w:rsidR="007C0F7D" w:rsidRPr="00A52EF3" w:rsidRDefault="007C0F7D" w:rsidP="00F25FCA">
      <w:pPr>
        <w:pStyle w:val="NormalnyWeb"/>
        <w:shd w:val="clear" w:color="auto" w:fill="FFFFFF"/>
        <w:spacing w:before="0" w:beforeAutospacing="0" w:after="120" w:afterAutospacing="0" w:line="360" w:lineRule="auto"/>
      </w:pPr>
      <w:r w:rsidRPr="00A52EF3">
        <w:t>27-230</w:t>
      </w:r>
      <w:r w:rsidR="002D51D1" w:rsidRPr="00A52EF3">
        <w:t xml:space="preserve"> Brody</w:t>
      </w:r>
    </w:p>
    <w:p w:rsidR="007C0F7D"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Jacek Świrta </w:t>
      </w:r>
    </w:p>
    <w:p w:rsidR="002D51D1" w:rsidRPr="00A52EF3" w:rsidRDefault="007C0F7D" w:rsidP="00F25FCA">
      <w:pPr>
        <w:pStyle w:val="NormalnyWeb"/>
        <w:shd w:val="clear" w:color="auto" w:fill="FFFFFF"/>
        <w:spacing w:before="0" w:beforeAutospacing="0" w:after="0" w:afterAutospacing="0" w:line="360" w:lineRule="auto"/>
      </w:pPr>
      <w:r w:rsidRPr="00A52EF3">
        <w:t>Zakład Produkcyjno</w:t>
      </w:r>
      <w:r w:rsidR="00964A10" w:rsidRPr="00A52EF3">
        <w:t xml:space="preserve"> - H</w:t>
      </w:r>
      <w:r w:rsidRPr="00A52EF3">
        <w:t xml:space="preserve">andlowy LEŚNIK </w:t>
      </w:r>
    </w:p>
    <w:p w:rsidR="002D51D1" w:rsidRPr="00A52EF3" w:rsidRDefault="002D51D1" w:rsidP="00F25FCA">
      <w:pPr>
        <w:pStyle w:val="NormalnyWeb"/>
        <w:shd w:val="clear" w:color="auto" w:fill="FFFFFF"/>
        <w:spacing w:before="0" w:beforeAutospacing="0" w:after="0" w:afterAutospacing="0" w:line="360" w:lineRule="auto"/>
      </w:pPr>
      <w:r w:rsidRPr="00A52EF3">
        <w:t>Krynki ul. Ostrowiecka 7</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2D51D1" w:rsidRPr="00A52EF3" w:rsidRDefault="002D51D1" w:rsidP="00F25FCA">
      <w:pPr>
        <w:pStyle w:val="NormalnyWeb"/>
        <w:numPr>
          <w:ilvl w:val="0"/>
          <w:numId w:val="24"/>
        </w:numPr>
        <w:shd w:val="clear" w:color="auto" w:fill="FFFFFF"/>
        <w:spacing w:before="0" w:beforeAutospacing="0" w:after="0" w:afterAutospacing="0" w:line="360" w:lineRule="auto"/>
      </w:pPr>
      <w:r w:rsidRPr="00A52EF3">
        <w:t xml:space="preserve">Paweł Adamczyk </w:t>
      </w:r>
    </w:p>
    <w:p w:rsidR="002D51D1" w:rsidRPr="00A52EF3" w:rsidRDefault="007C0F7D" w:rsidP="00F25FCA">
      <w:pPr>
        <w:pStyle w:val="NormalnyWeb"/>
        <w:shd w:val="clear" w:color="auto" w:fill="FFFFFF"/>
        <w:spacing w:before="0" w:beforeAutospacing="0" w:after="0" w:afterAutospacing="0" w:line="360" w:lineRule="auto"/>
      </w:pPr>
      <w:r w:rsidRPr="00A52EF3">
        <w:t xml:space="preserve">P.P.H.U. PAXPOL-STOLARNIA </w:t>
      </w:r>
    </w:p>
    <w:p w:rsidR="007C0F7D" w:rsidRPr="00A52EF3" w:rsidRDefault="007C0F7D" w:rsidP="00F25FCA">
      <w:pPr>
        <w:pStyle w:val="NormalnyWeb"/>
        <w:shd w:val="clear" w:color="auto" w:fill="FFFFFF"/>
        <w:spacing w:before="0" w:beforeAutospacing="0" w:after="0" w:afterAutospacing="0" w:line="360" w:lineRule="auto"/>
      </w:pPr>
      <w:r w:rsidRPr="00A52EF3">
        <w:t>Krynki ul.</w:t>
      </w:r>
      <w:r w:rsidR="00964A10" w:rsidRPr="00A52EF3">
        <w:t xml:space="preserve"> </w:t>
      </w:r>
      <w:r w:rsidRPr="00A52EF3">
        <w:t>Ostrowiecka 14</w:t>
      </w:r>
    </w:p>
    <w:p w:rsidR="007C0F7D" w:rsidRPr="00A52EF3" w:rsidRDefault="007C0F7D" w:rsidP="00F25FCA">
      <w:pPr>
        <w:pStyle w:val="NormalnyWeb"/>
        <w:shd w:val="clear" w:color="auto" w:fill="FFFFFF"/>
        <w:spacing w:before="0" w:beforeAutospacing="0" w:after="120" w:afterAutospacing="0" w:line="360" w:lineRule="auto"/>
      </w:pPr>
      <w:r w:rsidRPr="00A52EF3">
        <w:t>27-230 Brody</w:t>
      </w:r>
    </w:p>
    <w:p w:rsidR="002D51D1"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Stanisław Wrona </w:t>
      </w:r>
    </w:p>
    <w:p w:rsidR="002D51D1" w:rsidRPr="00A52EF3" w:rsidRDefault="007C0F7D" w:rsidP="00F25FCA">
      <w:pPr>
        <w:pStyle w:val="NormalnyWeb"/>
        <w:shd w:val="clear" w:color="auto" w:fill="FFFFFF"/>
        <w:spacing w:before="0" w:beforeAutospacing="0" w:after="0" w:afterAutospacing="0" w:line="360" w:lineRule="auto"/>
      </w:pPr>
      <w:r w:rsidRPr="00A52EF3">
        <w:t>U.Z.R.E.</w:t>
      </w:r>
    </w:p>
    <w:p w:rsidR="002D51D1" w:rsidRPr="00A52EF3" w:rsidRDefault="002D51D1" w:rsidP="00F25FCA">
      <w:pPr>
        <w:pStyle w:val="NormalnyWeb"/>
        <w:shd w:val="clear" w:color="auto" w:fill="FFFFFF"/>
        <w:spacing w:before="0" w:beforeAutospacing="0" w:after="0" w:afterAutospacing="0" w:line="360" w:lineRule="auto"/>
      </w:pPr>
      <w:r w:rsidRPr="00A52EF3">
        <w:t>Styków ul. Świętokrzyska 57</w:t>
      </w:r>
    </w:p>
    <w:p w:rsidR="008F14EE" w:rsidRPr="00A52EF3" w:rsidRDefault="007C0F7D" w:rsidP="00F25FCA">
      <w:pPr>
        <w:pStyle w:val="NormalnyWeb"/>
        <w:shd w:val="clear" w:color="auto" w:fill="FFFFFF"/>
        <w:spacing w:before="0" w:beforeAutospacing="0" w:after="120" w:afterAutospacing="0" w:line="360" w:lineRule="auto"/>
      </w:pPr>
      <w:r w:rsidRPr="00A52EF3">
        <w:t>27-230 Brody</w:t>
      </w:r>
    </w:p>
    <w:p w:rsidR="006D4C75" w:rsidRPr="00A52EF3" w:rsidRDefault="007C0F7D" w:rsidP="00F25FCA">
      <w:pPr>
        <w:pStyle w:val="NormalnyWeb"/>
        <w:numPr>
          <w:ilvl w:val="0"/>
          <w:numId w:val="24"/>
        </w:numPr>
        <w:shd w:val="clear" w:color="auto" w:fill="FFFFFF"/>
        <w:spacing w:before="0" w:beforeAutospacing="0" w:after="0" w:afterAutospacing="0" w:line="360" w:lineRule="auto"/>
      </w:pPr>
      <w:r w:rsidRPr="00A52EF3">
        <w:t xml:space="preserve">Andrzej Pocheć </w:t>
      </w:r>
    </w:p>
    <w:p w:rsidR="007C0F7D" w:rsidRPr="00A52EF3" w:rsidRDefault="007C0F7D" w:rsidP="00F25FCA">
      <w:pPr>
        <w:pStyle w:val="NormalnyWeb"/>
        <w:shd w:val="clear" w:color="auto" w:fill="FFFFFF"/>
        <w:spacing w:before="0" w:beforeAutospacing="0" w:after="0" w:afterAutospacing="0" w:line="360" w:lineRule="auto"/>
      </w:pPr>
      <w:r w:rsidRPr="00A52EF3">
        <w:t>Krynki ul. Pastwiska 14</w:t>
      </w:r>
    </w:p>
    <w:p w:rsidR="00DB5B31" w:rsidRPr="00A52EF3" w:rsidRDefault="00DB5B31" w:rsidP="00F25FCA">
      <w:pPr>
        <w:spacing w:line="360" w:lineRule="auto"/>
        <w:rPr>
          <w:rFonts w:ascii="Times New Roman" w:hAnsi="Times New Roman" w:cs="Times New Roman"/>
        </w:rPr>
      </w:pPr>
    </w:p>
    <w:p w:rsidR="00F6566B" w:rsidRPr="00A52EF3" w:rsidRDefault="00F6566B" w:rsidP="00F61B30">
      <w:pPr>
        <w:pStyle w:val="Nagwek2"/>
        <w:numPr>
          <w:ilvl w:val="1"/>
          <w:numId w:val="86"/>
        </w:numPr>
        <w:spacing w:after="240" w:line="360" w:lineRule="auto"/>
        <w:rPr>
          <w:rFonts w:ascii="Times New Roman" w:hAnsi="Times New Roman" w:cs="Times New Roman"/>
          <w:color w:val="auto"/>
        </w:rPr>
      </w:pPr>
      <w:bookmarkStart w:id="17" w:name="_Toc470763992"/>
      <w:r w:rsidRPr="00A52EF3">
        <w:rPr>
          <w:rFonts w:ascii="Times New Roman" w:hAnsi="Times New Roman" w:cs="Times New Roman"/>
          <w:color w:val="auto"/>
        </w:rPr>
        <w:lastRenderedPageBreak/>
        <w:t>Transport</w:t>
      </w:r>
      <w:bookmarkEnd w:id="17"/>
    </w:p>
    <w:p w:rsidR="00F6566B" w:rsidRPr="00A52EF3" w:rsidRDefault="00F6566B"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t>TRANSPORT DROGOWY</w:t>
      </w:r>
    </w:p>
    <w:p w:rsidR="00F6566B" w:rsidRPr="00A52EF3" w:rsidRDefault="00F6566B" w:rsidP="00F25FCA">
      <w:pPr>
        <w:spacing w:line="360" w:lineRule="auto"/>
        <w:ind w:firstLine="360"/>
        <w:rPr>
          <w:rFonts w:ascii="Times New Roman" w:hAnsi="Times New Roman" w:cs="Times New Roman"/>
          <w:sz w:val="24"/>
          <w:szCs w:val="24"/>
        </w:rPr>
      </w:pPr>
      <w:r w:rsidRPr="00A52EF3">
        <w:rPr>
          <w:rFonts w:ascii="Times New Roman" w:hAnsi="Times New Roman" w:cs="Times New Roman"/>
          <w:sz w:val="24"/>
          <w:szCs w:val="24"/>
        </w:rPr>
        <w:t>Gmina Brody ma bardzo dobre położenie komunikacyjne. Przez obszar gminy przebiegają dwie ważne drogi krajowe:</w:t>
      </w:r>
    </w:p>
    <w:p w:rsidR="00F6566B" w:rsidRPr="00A52EF3" w:rsidRDefault="00F6566B" w:rsidP="00F25FCA">
      <w:pPr>
        <w:pStyle w:val="Akapitzlist"/>
        <w:numPr>
          <w:ilvl w:val="0"/>
          <w:numId w:val="17"/>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droga krajowa nr 9 z Warszawy przez Radom, Rzeszów do Barwinka,</w:t>
      </w:r>
    </w:p>
    <w:p w:rsidR="00F6566B" w:rsidRPr="00A52EF3" w:rsidRDefault="00F6566B" w:rsidP="00F25FCA">
      <w:pPr>
        <w:pStyle w:val="Akapitzlist"/>
        <w:numPr>
          <w:ilvl w:val="0"/>
          <w:numId w:val="17"/>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droga krajowa nr 42 ze Skarżyska Kamiennej przez Starachowice do Rudnika.</w:t>
      </w:r>
    </w:p>
    <w:p w:rsidR="00DB5B31" w:rsidRPr="00A52EF3" w:rsidRDefault="00DB5B31" w:rsidP="008F14EE">
      <w:pPr>
        <w:spacing w:line="360" w:lineRule="auto"/>
        <w:rPr>
          <w:rFonts w:ascii="Times New Roman" w:hAnsi="Times New Roman" w:cs="Times New Roman"/>
          <w:sz w:val="24"/>
          <w:szCs w:val="24"/>
        </w:rPr>
      </w:pPr>
    </w:p>
    <w:p w:rsidR="00F6566B" w:rsidRPr="00A52EF3" w:rsidRDefault="00F6566B"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t>Przez obszar gminy biegną następujące drogi powiatowe:</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0613 T</w:t>
      </w:r>
      <w:r w:rsidRPr="00A52EF3">
        <w:rPr>
          <w:rFonts w:ascii="Times New Roman" w:hAnsi="Times New Roman" w:cs="Times New Roman"/>
          <w:sz w:val="24"/>
          <w:szCs w:val="24"/>
        </w:rPr>
        <w:tab/>
        <w:t xml:space="preserve"> Starachowice – Adamów – Styków – Jabłonna – Dąbrowa - Pawłów</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0614 T</w:t>
      </w:r>
      <w:r w:rsidRPr="00A52EF3">
        <w:rPr>
          <w:rFonts w:ascii="Times New Roman" w:hAnsi="Times New Roman" w:cs="Times New Roman"/>
          <w:sz w:val="24"/>
          <w:szCs w:val="24"/>
        </w:rPr>
        <w:tab/>
        <w:t xml:space="preserve"> przez wieś Kuczów</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0615 T</w:t>
      </w:r>
      <w:r w:rsidRPr="00A52EF3">
        <w:rPr>
          <w:rFonts w:ascii="Times New Roman" w:hAnsi="Times New Roman" w:cs="Times New Roman"/>
          <w:sz w:val="24"/>
          <w:szCs w:val="24"/>
        </w:rPr>
        <w:tab/>
        <w:t xml:space="preserve"> przez wieś Adamów</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0616 T</w:t>
      </w:r>
      <w:r w:rsidRPr="00A52EF3">
        <w:rPr>
          <w:rFonts w:ascii="Times New Roman" w:hAnsi="Times New Roman" w:cs="Times New Roman"/>
          <w:sz w:val="24"/>
          <w:szCs w:val="24"/>
        </w:rPr>
        <w:tab/>
        <w:t xml:space="preserve"> Starachowice – Warszawka – Dziurów – Styków</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0617 T</w:t>
      </w:r>
      <w:r w:rsidRPr="00A52EF3">
        <w:rPr>
          <w:rFonts w:ascii="Times New Roman" w:hAnsi="Times New Roman" w:cs="Times New Roman"/>
          <w:sz w:val="24"/>
          <w:szCs w:val="24"/>
        </w:rPr>
        <w:tab/>
        <w:t xml:space="preserve"> Starachowice - Lubienia</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0618 T Lipie – Henryk - Szyb</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0619 T</w:t>
      </w:r>
      <w:r w:rsidRPr="00A52EF3">
        <w:rPr>
          <w:rFonts w:ascii="Times New Roman" w:hAnsi="Times New Roman" w:cs="Times New Roman"/>
          <w:sz w:val="24"/>
          <w:szCs w:val="24"/>
        </w:rPr>
        <w:tab/>
        <w:t xml:space="preserve"> Komorniki – Suszarnia</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0620 T</w:t>
      </w:r>
      <w:r w:rsidRPr="00A52EF3">
        <w:rPr>
          <w:rFonts w:ascii="Times New Roman" w:hAnsi="Times New Roman" w:cs="Times New Roman"/>
          <w:sz w:val="24"/>
          <w:szCs w:val="24"/>
        </w:rPr>
        <w:tab/>
        <w:t xml:space="preserve"> Lubienia – Przymiarki – Budy Brodzkie – Działki - Młynek</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0621 T</w:t>
      </w:r>
      <w:r w:rsidRPr="00A52EF3">
        <w:rPr>
          <w:rFonts w:ascii="Times New Roman" w:hAnsi="Times New Roman" w:cs="Times New Roman"/>
          <w:sz w:val="24"/>
          <w:szCs w:val="24"/>
        </w:rPr>
        <w:tab/>
        <w:t xml:space="preserve"> Brody – Połągiew – Staw Kunowski - Rudnik</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0622 T Bór Kunowski – Staw Kunowski</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0623 T</w:t>
      </w:r>
      <w:r w:rsidRPr="00A52EF3">
        <w:rPr>
          <w:rFonts w:ascii="Times New Roman" w:hAnsi="Times New Roman" w:cs="Times New Roman"/>
          <w:sz w:val="24"/>
          <w:szCs w:val="24"/>
        </w:rPr>
        <w:tab/>
        <w:t xml:space="preserve"> Krynki Duże - Rudnik</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0624 T</w:t>
      </w:r>
      <w:r w:rsidRPr="00A52EF3">
        <w:rPr>
          <w:rFonts w:ascii="Times New Roman" w:hAnsi="Times New Roman" w:cs="Times New Roman"/>
          <w:sz w:val="24"/>
          <w:szCs w:val="24"/>
        </w:rPr>
        <w:tab/>
        <w:t xml:space="preserve"> Brody – Krynki Duże – Krynki Małe</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0625 T</w:t>
      </w:r>
      <w:r w:rsidRPr="00A52EF3">
        <w:rPr>
          <w:rFonts w:ascii="Times New Roman" w:hAnsi="Times New Roman" w:cs="Times New Roman"/>
          <w:sz w:val="24"/>
          <w:szCs w:val="24"/>
        </w:rPr>
        <w:tab/>
        <w:t xml:space="preserve"> Krynki – Brody</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0626 T</w:t>
      </w:r>
      <w:r w:rsidRPr="00A52EF3">
        <w:rPr>
          <w:rFonts w:ascii="Times New Roman" w:hAnsi="Times New Roman" w:cs="Times New Roman"/>
          <w:sz w:val="24"/>
          <w:szCs w:val="24"/>
        </w:rPr>
        <w:tab/>
        <w:t xml:space="preserve"> Styków – Ruda - Brody</w:t>
      </w:r>
    </w:p>
    <w:p w:rsidR="00F6566B" w:rsidRPr="00A52EF3" w:rsidRDefault="00F6566B" w:rsidP="00F25FCA">
      <w:pPr>
        <w:pStyle w:val="Akapitzlist"/>
        <w:numPr>
          <w:ilvl w:val="0"/>
          <w:numId w:val="18"/>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0627 T Styków – Kałków</w:t>
      </w:r>
    </w:p>
    <w:p w:rsidR="00F6566B" w:rsidRPr="00A52EF3" w:rsidRDefault="00F6566B" w:rsidP="00F25FCA">
      <w:pPr>
        <w:pStyle w:val="Akapitzlist"/>
        <w:spacing w:line="360" w:lineRule="auto"/>
        <w:rPr>
          <w:rFonts w:ascii="Times New Roman" w:hAnsi="Times New Roman" w:cs="Times New Roman"/>
          <w:sz w:val="24"/>
          <w:szCs w:val="24"/>
        </w:rPr>
      </w:pPr>
    </w:p>
    <w:p w:rsidR="008F14EE" w:rsidRPr="00A52EF3" w:rsidRDefault="008F14EE" w:rsidP="00F25FCA">
      <w:pPr>
        <w:pStyle w:val="Akapitzlist"/>
        <w:spacing w:line="360" w:lineRule="auto"/>
        <w:rPr>
          <w:rFonts w:ascii="Times New Roman" w:hAnsi="Times New Roman" w:cs="Times New Roman"/>
          <w:sz w:val="24"/>
          <w:szCs w:val="24"/>
        </w:rPr>
      </w:pPr>
    </w:p>
    <w:p w:rsidR="008F14EE" w:rsidRPr="00A52EF3" w:rsidRDefault="008F14EE" w:rsidP="00F25FCA">
      <w:pPr>
        <w:pStyle w:val="Akapitzlist"/>
        <w:spacing w:line="360" w:lineRule="auto"/>
        <w:rPr>
          <w:rFonts w:ascii="Times New Roman" w:hAnsi="Times New Roman" w:cs="Times New Roman"/>
          <w:sz w:val="24"/>
          <w:szCs w:val="24"/>
        </w:rPr>
      </w:pPr>
    </w:p>
    <w:p w:rsidR="008F14EE" w:rsidRPr="00A52EF3" w:rsidRDefault="008F14EE" w:rsidP="00F25FCA">
      <w:pPr>
        <w:pStyle w:val="Akapitzlist"/>
        <w:spacing w:line="360" w:lineRule="auto"/>
        <w:rPr>
          <w:rFonts w:ascii="Times New Roman" w:hAnsi="Times New Roman" w:cs="Times New Roman"/>
          <w:sz w:val="24"/>
          <w:szCs w:val="24"/>
        </w:rPr>
      </w:pPr>
    </w:p>
    <w:p w:rsidR="00F6566B" w:rsidRPr="00A52EF3" w:rsidRDefault="00F6566B"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lastRenderedPageBreak/>
        <w:t>Przez obszar gminy biegną następujące drogi gminne:</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000280T Staw Kunowski przez wieś</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000281T Zębiec-Lipie</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000282T Henryk przez wieś</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000283T Od drogi Ostrowiec- Radom do wsi Górki I</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000284T Od drogi Ostrowiec- Radom do wsi Górki II</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000285T Krynki-Kałków</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000286T Jabłonna przez wieś</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000287T Kuczów-Rzepin</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000288T Rudnik przez wieś</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000289T Ruda Mała- Ruda Duża</w:t>
      </w:r>
    </w:p>
    <w:p w:rsidR="00F6566B" w:rsidRPr="00A52EF3" w:rsidRDefault="00F6566B" w:rsidP="00F25FCA">
      <w:pPr>
        <w:pStyle w:val="Akapitzlist"/>
        <w:numPr>
          <w:ilvl w:val="0"/>
          <w:numId w:val="19"/>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000290T Kuczów-Dziurów</w:t>
      </w:r>
    </w:p>
    <w:p w:rsidR="004A4AE0" w:rsidRPr="00A52EF3" w:rsidRDefault="004A4AE0" w:rsidP="00F25FCA">
      <w:pPr>
        <w:spacing w:line="360" w:lineRule="auto"/>
        <w:ind w:firstLine="708"/>
        <w:jc w:val="both"/>
        <w:rPr>
          <w:rFonts w:ascii="Times New Roman" w:hAnsi="Times New Roman" w:cs="Times New Roman"/>
          <w:sz w:val="24"/>
          <w:szCs w:val="24"/>
        </w:rPr>
      </w:pPr>
    </w:p>
    <w:p w:rsidR="00F6566B" w:rsidRPr="00A52EF3" w:rsidRDefault="00F6566B"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Ogólna długość dróg krajowych na terenie gminy wynosi 21 km, dróg powiatowych - 57 km, a dróg gminnych - 63 km. Przez teren gminy nie przebiega żadna droga wojewódzka.</w:t>
      </w:r>
    </w:p>
    <w:p w:rsidR="008F14EE" w:rsidRPr="00A52EF3" w:rsidRDefault="008F14EE" w:rsidP="00F25FCA">
      <w:pPr>
        <w:spacing w:line="360" w:lineRule="auto"/>
        <w:rPr>
          <w:rFonts w:ascii="Times New Roman" w:hAnsi="Times New Roman" w:cs="Times New Roman"/>
          <w:sz w:val="24"/>
          <w:szCs w:val="24"/>
        </w:rPr>
      </w:pPr>
    </w:p>
    <w:p w:rsidR="00F6566B" w:rsidRPr="00A52EF3" w:rsidRDefault="00F6566B"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t>TRANSPORT KOLEJOWY</w:t>
      </w:r>
    </w:p>
    <w:p w:rsidR="00DB5B31" w:rsidRPr="00A52EF3" w:rsidRDefault="00F6566B" w:rsidP="008F14EE">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Przez teren gminy Brody przebiega połączenie kolejowe Łódź Kaliska – Dębica. Stacje kolejowe znajdują się w miejscowościach: St</w:t>
      </w:r>
      <w:r w:rsidR="008F14EE" w:rsidRPr="00A52EF3">
        <w:rPr>
          <w:rFonts w:ascii="Times New Roman" w:hAnsi="Times New Roman" w:cs="Times New Roman"/>
          <w:sz w:val="24"/>
          <w:szCs w:val="24"/>
        </w:rPr>
        <w:t>aw Kunowski, Brody oraz Styków.</w:t>
      </w:r>
    </w:p>
    <w:p w:rsidR="008F14EE" w:rsidRPr="00A52EF3" w:rsidRDefault="008F14EE" w:rsidP="008F14EE">
      <w:pPr>
        <w:spacing w:line="360" w:lineRule="auto"/>
        <w:ind w:firstLine="708"/>
        <w:jc w:val="both"/>
        <w:rPr>
          <w:rFonts w:ascii="Times New Roman" w:hAnsi="Times New Roman" w:cs="Times New Roman"/>
          <w:sz w:val="24"/>
          <w:szCs w:val="24"/>
        </w:rPr>
      </w:pPr>
    </w:p>
    <w:p w:rsidR="00F6566B" w:rsidRPr="00A52EF3" w:rsidRDefault="006D4C75" w:rsidP="00F61B30">
      <w:pPr>
        <w:pStyle w:val="Nagwek2"/>
        <w:numPr>
          <w:ilvl w:val="1"/>
          <w:numId w:val="86"/>
        </w:numPr>
        <w:spacing w:after="240" w:line="360" w:lineRule="auto"/>
        <w:rPr>
          <w:rFonts w:ascii="Times New Roman" w:hAnsi="Times New Roman" w:cs="Times New Roman"/>
          <w:color w:val="auto"/>
        </w:rPr>
      </w:pPr>
      <w:bookmarkStart w:id="18" w:name="_Toc470763993"/>
      <w:r w:rsidRPr="00A52EF3">
        <w:rPr>
          <w:rFonts w:ascii="Times New Roman" w:hAnsi="Times New Roman" w:cs="Times New Roman"/>
          <w:color w:val="auto"/>
        </w:rPr>
        <w:t>Gospodarka odpadami</w:t>
      </w:r>
      <w:bookmarkEnd w:id="18"/>
    </w:p>
    <w:p w:rsidR="006D4C75" w:rsidRPr="00A52EF3" w:rsidRDefault="006D4C75"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Na obszarze gminy Brody nie ma funkcjonującego składowiska odpadów. Wszystkie odpady (komunalne, przemysłowe i niebezpieczne), które powstają na terenie gminy, są selektywnie zbierane i wywożone przez firmy zewnętrzne poza jej granice. Obecnie, w celu poprawy stanu środowiska, w gminie Brody prowadzona jest akcja polegająca na likwidowaniu dzikich „wysypisk śmieci”, ponieważ odpady najczęściej wyrzucane są przy </w:t>
      </w:r>
      <w:r w:rsidRPr="00A52EF3">
        <w:rPr>
          <w:rFonts w:ascii="Times New Roman" w:eastAsia="Calibri" w:hAnsi="Times New Roman" w:cs="Times New Roman"/>
          <w:sz w:val="24"/>
        </w:rPr>
        <w:lastRenderedPageBreak/>
        <w:t xml:space="preserve">jezdniach i obrzeżach zbiornika wodnego. Pasy drogowe dróg krajowych w gminie Brody sprzątane są okresowo - dwa razy w roku, przez Generalną Dyrekcję Dróg Krajowych </w:t>
      </w:r>
      <w:r w:rsidR="002D51D1" w:rsidRPr="00A52EF3">
        <w:rPr>
          <w:rFonts w:ascii="Times New Roman" w:eastAsia="Calibri" w:hAnsi="Times New Roman" w:cs="Times New Roman"/>
          <w:sz w:val="24"/>
        </w:rPr>
        <w:br/>
      </w:r>
      <w:r w:rsidRPr="00A52EF3">
        <w:rPr>
          <w:rFonts w:ascii="Times New Roman" w:eastAsia="Calibri" w:hAnsi="Times New Roman" w:cs="Times New Roman"/>
          <w:sz w:val="24"/>
        </w:rPr>
        <w:t>i Autostrad Rejon w Starachowicach</w:t>
      </w:r>
      <w:r w:rsidR="005D1DDA" w:rsidRPr="00A52EF3">
        <w:rPr>
          <w:rFonts w:ascii="Times New Roman" w:eastAsia="Calibri" w:hAnsi="Times New Roman" w:cs="Times New Roman"/>
          <w:sz w:val="24"/>
        </w:rPr>
        <w:t>.</w:t>
      </w:r>
    </w:p>
    <w:p w:rsidR="006D4C75" w:rsidRPr="00A52EF3" w:rsidRDefault="006D4C75" w:rsidP="00F25FCA">
      <w:pPr>
        <w:spacing w:before="120"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Główne źródła powstawania odpadów w gminie Brody:</w:t>
      </w:r>
    </w:p>
    <w:p w:rsidR="006D4C75" w:rsidRPr="00A52EF3" w:rsidRDefault="006D4C75" w:rsidP="00F25FCA">
      <w:pPr>
        <w:numPr>
          <w:ilvl w:val="0"/>
          <w:numId w:val="2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gospodarstwa domowe (odpady komunalne),</w:t>
      </w:r>
    </w:p>
    <w:p w:rsidR="006D4C75" w:rsidRPr="00A52EF3" w:rsidRDefault="006D4C75" w:rsidP="00F25FCA">
      <w:pPr>
        <w:numPr>
          <w:ilvl w:val="0"/>
          <w:numId w:val="2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firmy, przedsiębiorstwa i instytucje publiczne (m.in. opieka zdrowotna, usługi, biura, sektor budowlany, gospodarka komunalna) - (odpady komunalne, opakowaniowe, odpady z oczyszczalni ścieków, medyczne, odpady z sektora budowlanego, itd.), </w:t>
      </w:r>
    </w:p>
    <w:p w:rsidR="006D4C75" w:rsidRPr="00A52EF3" w:rsidRDefault="006D4C75" w:rsidP="00F25FCA">
      <w:pPr>
        <w:numPr>
          <w:ilvl w:val="0"/>
          <w:numId w:val="2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komunikacja i transport (odpady komunalne, wraki starych samochodów),</w:t>
      </w:r>
    </w:p>
    <w:p w:rsidR="006D4C75" w:rsidRPr="00A52EF3" w:rsidRDefault="006D4C75" w:rsidP="00F25FCA">
      <w:pPr>
        <w:numPr>
          <w:ilvl w:val="0"/>
          <w:numId w:val="2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turystyka i rekreacja (odpady komunalne).</w:t>
      </w:r>
    </w:p>
    <w:p w:rsidR="006D4C75" w:rsidRPr="00A52EF3" w:rsidRDefault="006D4C75" w:rsidP="00F25FCA">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 xml:space="preserve">Odpady niebezpieczne powstają we wszystkich w/w źródłach. </w:t>
      </w:r>
    </w:p>
    <w:p w:rsidR="002D51D1" w:rsidRPr="00A52EF3" w:rsidRDefault="002D51D1" w:rsidP="00F25FCA">
      <w:pPr>
        <w:spacing w:after="0" w:line="360" w:lineRule="auto"/>
        <w:jc w:val="both"/>
        <w:rPr>
          <w:rFonts w:ascii="Times New Roman" w:eastAsia="Calibri" w:hAnsi="Times New Roman" w:cs="Times New Roman"/>
          <w:sz w:val="24"/>
        </w:rPr>
      </w:pPr>
    </w:p>
    <w:p w:rsidR="006D4C75" w:rsidRPr="00A52EF3" w:rsidRDefault="006D4C75" w:rsidP="00F25FCA">
      <w:pPr>
        <w:spacing w:after="0" w:line="360" w:lineRule="auto"/>
        <w:jc w:val="both"/>
        <w:rPr>
          <w:rFonts w:ascii="Times New Roman" w:eastAsia="Calibri" w:hAnsi="Times New Roman" w:cs="Times New Roman"/>
          <w:sz w:val="24"/>
          <w:u w:val="single"/>
        </w:rPr>
      </w:pPr>
      <w:r w:rsidRPr="00A52EF3">
        <w:rPr>
          <w:rFonts w:ascii="Times New Roman" w:eastAsia="Calibri" w:hAnsi="Times New Roman" w:cs="Times New Roman"/>
          <w:sz w:val="24"/>
          <w:u w:val="single"/>
        </w:rPr>
        <w:t>Odpady niebezpieczne</w:t>
      </w:r>
    </w:p>
    <w:p w:rsidR="006D4C75" w:rsidRPr="00A52EF3" w:rsidRDefault="006D4C75"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W 2005 roku na terenie gminie Brody powstał Gminny Punkt Zbiórki Odpadów Niebezpiecznych, który zlokalizowany jest w miejscowości Krynki. W ramach GPZON prowadzona jest m.in. zbiórka zużytych baterii. Dodatkowo w 2007 roku opracowano </w:t>
      </w:r>
      <w:r w:rsidR="002D51D1" w:rsidRPr="00A52EF3">
        <w:rPr>
          <w:rFonts w:ascii="Times New Roman" w:eastAsia="Calibri" w:hAnsi="Times New Roman" w:cs="Times New Roman"/>
          <w:sz w:val="24"/>
        </w:rPr>
        <w:br/>
      </w:r>
      <w:r w:rsidRPr="00A52EF3">
        <w:rPr>
          <w:rFonts w:ascii="Times New Roman" w:eastAsia="Calibri" w:hAnsi="Times New Roman" w:cs="Times New Roman"/>
          <w:sz w:val="24"/>
        </w:rPr>
        <w:t>i wdrożono „Program usuwania wyrobów zawierających azbest dla Gminy Brody na lata 2007-2032”, który ma na celu podniesienie świadomości mieszkańców o szkodliwości azbestu i przekonaniu ich do zmiany pokryć dachowych z azbestowych na inne.</w:t>
      </w:r>
    </w:p>
    <w:p w:rsidR="006D4C75" w:rsidRPr="00A52EF3" w:rsidRDefault="006D4C75" w:rsidP="00F25FCA">
      <w:pPr>
        <w:spacing w:after="0" w:line="360" w:lineRule="auto"/>
        <w:jc w:val="both"/>
        <w:rPr>
          <w:rFonts w:ascii="Times New Roman" w:eastAsia="Calibri" w:hAnsi="Times New Roman" w:cs="Times New Roman"/>
          <w:sz w:val="24"/>
          <w:u w:val="single"/>
        </w:rPr>
      </w:pPr>
    </w:p>
    <w:p w:rsidR="006D4C75" w:rsidRPr="00A52EF3" w:rsidRDefault="006D4C75" w:rsidP="00F25FCA">
      <w:pPr>
        <w:spacing w:after="0" w:line="360" w:lineRule="auto"/>
        <w:jc w:val="both"/>
        <w:rPr>
          <w:rFonts w:ascii="Times New Roman" w:eastAsia="Calibri" w:hAnsi="Times New Roman" w:cs="Times New Roman"/>
          <w:sz w:val="24"/>
          <w:u w:val="single"/>
        </w:rPr>
      </w:pPr>
      <w:r w:rsidRPr="00A52EF3">
        <w:rPr>
          <w:rFonts w:ascii="Times New Roman" w:eastAsia="Calibri" w:hAnsi="Times New Roman" w:cs="Times New Roman"/>
          <w:sz w:val="24"/>
          <w:u w:val="single"/>
        </w:rPr>
        <w:t>Odpady komunalne</w:t>
      </w:r>
    </w:p>
    <w:p w:rsidR="006D4C75" w:rsidRPr="00A52EF3" w:rsidRDefault="006D4C75" w:rsidP="00F25FCA">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ab/>
        <w:t>Na terenie gminy Brody prowadzona jest selektywna zbiórka odpadów komunalnych. Gospodarstwa domowe zaopatrywane są w specjalnie oznakowane worki o pojemności 120 l. Odbiór odpadów odbywa się raz w miesiącu według harmonogramu, który otrzymało każde gospodarstwo i który udostępniony jest także na stronie internetowej Urzędu Gminy Brody. Selektywne zbieranie odpadów komunalnych pozwala mieszkańcom gminy płacić niższe stawki opłat za gospodarowanie odpadami. W związku z tym wprowadzono podział na:</w:t>
      </w:r>
    </w:p>
    <w:p w:rsidR="006D4C75" w:rsidRPr="00A52EF3" w:rsidRDefault="006D4C75" w:rsidP="00F25FCA">
      <w:pPr>
        <w:numPr>
          <w:ilvl w:val="0"/>
          <w:numId w:val="21"/>
        </w:numPr>
        <w:spacing w:after="0" w:line="360" w:lineRule="auto"/>
        <w:jc w:val="both"/>
        <w:rPr>
          <w:rFonts w:ascii="Times New Roman" w:eastAsia="Calibri" w:hAnsi="Times New Roman" w:cs="Times New Roman"/>
          <w:sz w:val="24"/>
          <w:szCs w:val="24"/>
          <w:lang w:eastAsia="pl-PL"/>
        </w:rPr>
      </w:pPr>
      <w:r w:rsidRPr="00A52EF3">
        <w:rPr>
          <w:rFonts w:ascii="Times New Roman" w:eastAsia="Calibri" w:hAnsi="Times New Roman" w:cs="Times New Roman"/>
          <w:sz w:val="24"/>
          <w:szCs w:val="24"/>
          <w:lang w:eastAsia="pl-PL"/>
        </w:rPr>
        <w:t>tworzywa sztuczne, metal i opakowania wielomateriałowe (worek koloru żółtego),</w:t>
      </w:r>
    </w:p>
    <w:p w:rsidR="006D4C75" w:rsidRPr="00A52EF3" w:rsidRDefault="006D4C75" w:rsidP="00F25FCA">
      <w:pPr>
        <w:numPr>
          <w:ilvl w:val="0"/>
          <w:numId w:val="21"/>
        </w:numPr>
        <w:spacing w:after="0" w:line="360" w:lineRule="auto"/>
        <w:jc w:val="both"/>
        <w:rPr>
          <w:rFonts w:ascii="Times New Roman" w:eastAsia="Calibri" w:hAnsi="Times New Roman" w:cs="Times New Roman"/>
          <w:sz w:val="24"/>
          <w:szCs w:val="24"/>
          <w:lang w:eastAsia="pl-PL"/>
        </w:rPr>
      </w:pPr>
      <w:r w:rsidRPr="00A52EF3">
        <w:rPr>
          <w:rFonts w:ascii="Times New Roman" w:eastAsia="Calibri" w:hAnsi="Times New Roman" w:cs="Times New Roman"/>
          <w:sz w:val="24"/>
          <w:szCs w:val="24"/>
          <w:lang w:eastAsia="pl-PL"/>
        </w:rPr>
        <w:t>szkoło (worek koloru zielonego),</w:t>
      </w:r>
    </w:p>
    <w:p w:rsidR="006D4C75" w:rsidRPr="00A52EF3" w:rsidRDefault="006D4C75" w:rsidP="00F25FCA">
      <w:pPr>
        <w:numPr>
          <w:ilvl w:val="0"/>
          <w:numId w:val="21"/>
        </w:numPr>
        <w:spacing w:after="0" w:line="360" w:lineRule="auto"/>
        <w:jc w:val="both"/>
        <w:rPr>
          <w:rFonts w:ascii="Times New Roman" w:eastAsia="Calibri" w:hAnsi="Times New Roman" w:cs="Times New Roman"/>
          <w:sz w:val="24"/>
          <w:szCs w:val="24"/>
          <w:lang w:eastAsia="pl-PL"/>
        </w:rPr>
      </w:pPr>
      <w:r w:rsidRPr="00A52EF3">
        <w:rPr>
          <w:rFonts w:ascii="Times New Roman" w:eastAsia="Calibri" w:hAnsi="Times New Roman" w:cs="Times New Roman"/>
          <w:sz w:val="24"/>
          <w:szCs w:val="24"/>
          <w:lang w:eastAsia="pl-PL"/>
        </w:rPr>
        <w:t>papier (worek koloru niebieskiego).</w:t>
      </w:r>
    </w:p>
    <w:p w:rsidR="00BD7A3A" w:rsidRPr="00A52EF3" w:rsidRDefault="006D4C75" w:rsidP="008F14EE">
      <w:pPr>
        <w:spacing w:before="120"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 xml:space="preserve">Odpady komunalne wywożone są do Zakładu Unieszkodliwiania Odpadów </w:t>
      </w:r>
      <w:r w:rsidR="00BD7A3A" w:rsidRPr="00A52EF3">
        <w:rPr>
          <w:rFonts w:ascii="Times New Roman" w:eastAsia="Calibri" w:hAnsi="Times New Roman" w:cs="Times New Roman"/>
          <w:sz w:val="24"/>
        </w:rPr>
        <w:br/>
      </w:r>
      <w:r w:rsidRPr="00A52EF3">
        <w:rPr>
          <w:rFonts w:ascii="Times New Roman" w:eastAsia="Calibri" w:hAnsi="Times New Roman" w:cs="Times New Roman"/>
          <w:sz w:val="24"/>
        </w:rPr>
        <w:t>w Janiku</w:t>
      </w:r>
      <w:r w:rsidR="005D1DDA" w:rsidRPr="00A52EF3">
        <w:rPr>
          <w:rFonts w:ascii="Times New Roman" w:eastAsia="Calibri" w:hAnsi="Times New Roman" w:cs="Times New Roman"/>
          <w:sz w:val="24"/>
        </w:rPr>
        <w:t>.</w:t>
      </w:r>
    </w:p>
    <w:p w:rsidR="00BD7A3A" w:rsidRPr="00A52EF3" w:rsidRDefault="00BD7A3A" w:rsidP="00F25FCA">
      <w:pPr>
        <w:keepNext/>
        <w:spacing w:after="0" w:line="360" w:lineRule="auto"/>
        <w:rPr>
          <w:rFonts w:ascii="Times New Roman" w:eastAsia="Calibri" w:hAnsi="Times New Roman" w:cs="Times New Roman"/>
          <w:b/>
          <w:bCs/>
          <w:sz w:val="18"/>
          <w:szCs w:val="18"/>
        </w:rPr>
      </w:pPr>
    </w:p>
    <w:tbl>
      <w:tblPr>
        <w:tblStyle w:val="Jasnasiatkaakcent111"/>
        <w:tblW w:w="0" w:type="auto"/>
        <w:jc w:val="center"/>
        <w:tblLook w:val="04A0" w:firstRow="1" w:lastRow="0" w:firstColumn="1" w:lastColumn="0" w:noHBand="0" w:noVBand="1"/>
      </w:tblPr>
      <w:tblGrid>
        <w:gridCol w:w="4305"/>
        <w:gridCol w:w="2332"/>
        <w:gridCol w:w="2651"/>
      </w:tblGrid>
      <w:tr w:rsidR="006D4C75" w:rsidRPr="00A52EF3" w:rsidTr="002D51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Jednostkowy wskaźnik wytwarzania odpadów kg/M/R</w:t>
            </w:r>
          </w:p>
        </w:tc>
        <w:tc>
          <w:tcPr>
            <w:tcW w:w="0" w:type="auto"/>
            <w:gridSpan w:val="2"/>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Według Wojewódzkiego Planu Gospodarki Odpadami na rok 2015</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D4C75" w:rsidRPr="00A52EF3" w:rsidRDefault="006D4C75" w:rsidP="00F25FCA">
            <w:pPr>
              <w:spacing w:line="360" w:lineRule="auto"/>
              <w:jc w:val="center"/>
              <w:rPr>
                <w:rFonts w:ascii="Times New Roman" w:eastAsia="Calibri" w:hAnsi="Times New Roman"/>
                <w:sz w:val="24"/>
              </w:rPr>
            </w:pP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w:t>
            </w:r>
          </w:p>
        </w:tc>
        <w:tc>
          <w:tcPr>
            <w:tcW w:w="0" w:type="auto"/>
          </w:tcPr>
          <w:p w:rsidR="006D4C75" w:rsidRPr="00A52EF3" w:rsidRDefault="002D51D1"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k</w:t>
            </w:r>
            <w:r w:rsidR="006D4C75" w:rsidRPr="00A52EF3">
              <w:rPr>
                <w:rFonts w:ascii="Times New Roman" w:eastAsia="Calibri" w:hAnsi="Times New Roman" w:cs="Times New Roman"/>
                <w:sz w:val="24"/>
              </w:rPr>
              <w:t>g</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Papier i tektura</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5,14</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15,9854</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Szkło</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9,96</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30,9756</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Metale</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2,34</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7,2774</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Tworzywa sztuczne</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10,55</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32,8105</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wielomateriałowe</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4,19</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13,0309</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kuchenne i ogrodowe</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31,82</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98,9602</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mineralne</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6,79</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21,1169</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Frakcja &lt; 10 mm</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16,64</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51,7504</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Tekstylia</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2,14</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6,6554</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Drewno</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0,67</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2,0837</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niebezpieczne</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0,87</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2,7057</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Inne kategorie</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4,98</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15,4878</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wielkogabarytowe</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1,30</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4,043</w:t>
            </w:r>
          </w:p>
        </w:tc>
      </w:tr>
      <w:tr w:rsidR="00CC547F"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z terenów zielonych</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2,61</w:t>
            </w:r>
          </w:p>
        </w:tc>
        <w:tc>
          <w:tcPr>
            <w:tcW w:w="0" w:type="auto"/>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8,1171</w:t>
            </w:r>
          </w:p>
        </w:tc>
      </w:tr>
      <w:tr w:rsidR="00CC547F" w:rsidRPr="00A52EF3" w:rsidTr="002D51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Razem:</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100,00</w:t>
            </w:r>
          </w:p>
        </w:tc>
        <w:tc>
          <w:tcPr>
            <w:tcW w:w="0" w:type="auto"/>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311</w:t>
            </w:r>
          </w:p>
        </w:tc>
      </w:tr>
      <w:tr w:rsidR="006D4C75" w:rsidRPr="00A52EF3" w:rsidTr="002D5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Ilość wytwarzanych odpadów kg/M/R</w:t>
            </w:r>
          </w:p>
        </w:tc>
        <w:tc>
          <w:tcPr>
            <w:tcW w:w="0" w:type="auto"/>
            <w:gridSpan w:val="2"/>
            <w:vAlign w:val="center"/>
          </w:tcPr>
          <w:p w:rsidR="006D4C75" w:rsidRPr="00A52EF3" w:rsidRDefault="006D4C75" w:rsidP="00F25FC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311</w:t>
            </w:r>
          </w:p>
        </w:tc>
      </w:tr>
    </w:tbl>
    <w:p w:rsidR="008F14EE" w:rsidRPr="00A52EF3" w:rsidRDefault="0089306A" w:rsidP="008F14EE">
      <w:pPr>
        <w:pStyle w:val="Legenda"/>
        <w:spacing w:line="360" w:lineRule="auto"/>
        <w:rPr>
          <w:rFonts w:ascii="Times New Roman" w:eastAsia="Calibri"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4</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xml:space="preserve">. Ilość </w:t>
      </w:r>
      <w:r w:rsidRPr="00A52EF3">
        <w:rPr>
          <w:rFonts w:ascii="Times New Roman" w:eastAsia="Calibri" w:hAnsi="Times New Roman" w:cs="Times New Roman"/>
          <w:color w:val="auto"/>
        </w:rPr>
        <w:t>wytwarzanych odpadów komunalnych na terenie gminy Brody w 2015 r</w:t>
      </w:r>
    </w:p>
    <w:p w:rsidR="000A22A7" w:rsidRPr="00A52EF3" w:rsidRDefault="000A22A7" w:rsidP="00F25FCA">
      <w:pPr>
        <w:spacing w:after="0" w:line="360" w:lineRule="auto"/>
        <w:jc w:val="both"/>
        <w:rPr>
          <w:rFonts w:ascii="Times New Roman" w:eastAsia="Calibri" w:hAnsi="Times New Roman" w:cs="Times New Roman"/>
          <w:sz w:val="24"/>
          <w:szCs w:val="24"/>
          <w:lang w:eastAsia="pl-PL"/>
        </w:rPr>
      </w:pPr>
    </w:p>
    <w:p w:rsidR="006D4C75" w:rsidRPr="00A52EF3" w:rsidRDefault="006D4C75" w:rsidP="00F25FCA">
      <w:pPr>
        <w:spacing w:after="0" w:line="360" w:lineRule="auto"/>
        <w:jc w:val="both"/>
        <w:rPr>
          <w:rFonts w:ascii="Times New Roman" w:eastAsia="Calibri" w:hAnsi="Times New Roman" w:cs="Times New Roman"/>
          <w:sz w:val="24"/>
          <w:u w:val="single"/>
        </w:rPr>
      </w:pPr>
      <w:r w:rsidRPr="00A52EF3">
        <w:rPr>
          <w:rFonts w:ascii="Times New Roman" w:eastAsia="Calibri" w:hAnsi="Times New Roman" w:cs="Times New Roman"/>
          <w:sz w:val="24"/>
          <w:u w:val="single"/>
        </w:rPr>
        <w:t>Odpady z sektora gospodarczego</w:t>
      </w:r>
    </w:p>
    <w:p w:rsidR="006D4C75" w:rsidRPr="00A52EF3" w:rsidRDefault="006D4C75"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Odpady, które powstają w sektorze gospodarczym są zbierane i wywożone przez firmy świadczące swoje usługi w zakresie odbioru i transportu odpadów m.in. do Zakładu Unieszkodliwiania Odpadów w Janiku - poza teren gminy.</w:t>
      </w: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6D4C75" w:rsidRPr="00A52EF3" w:rsidRDefault="006D4C75" w:rsidP="00F25FCA">
      <w:pPr>
        <w:spacing w:after="0" w:line="360" w:lineRule="auto"/>
        <w:ind w:firstLine="708"/>
        <w:jc w:val="both"/>
        <w:rPr>
          <w:rFonts w:ascii="Times New Roman" w:eastAsia="Calibri" w:hAnsi="Times New Roman" w:cs="Times New Roman"/>
          <w:sz w:val="24"/>
        </w:rPr>
      </w:pPr>
    </w:p>
    <w:p w:rsidR="006D4C75" w:rsidRPr="00A52EF3" w:rsidRDefault="006D4C75" w:rsidP="00F25FCA">
      <w:pPr>
        <w:spacing w:after="0" w:line="360" w:lineRule="auto"/>
        <w:jc w:val="both"/>
        <w:rPr>
          <w:rFonts w:ascii="Times New Roman" w:eastAsia="Calibri" w:hAnsi="Times New Roman" w:cs="Times New Roman"/>
          <w:sz w:val="24"/>
          <w:u w:val="single"/>
        </w:rPr>
      </w:pPr>
      <w:r w:rsidRPr="00A52EF3">
        <w:rPr>
          <w:rFonts w:ascii="Times New Roman" w:eastAsia="Calibri" w:hAnsi="Times New Roman" w:cs="Times New Roman"/>
          <w:sz w:val="24"/>
        </w:rPr>
        <w:lastRenderedPageBreak/>
        <w:t>Firmy zajmujące się odbiorem i transportem odpadów w gminie Brody:</w:t>
      </w:r>
    </w:p>
    <w:p w:rsidR="006D4C75" w:rsidRPr="00A52EF3" w:rsidRDefault="006D4C75" w:rsidP="00F25FCA">
      <w:pPr>
        <w:numPr>
          <w:ilvl w:val="0"/>
          <w:numId w:val="22"/>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Miejskie Usługi Komunalne Sp. z o.o. – ul. Mościckiego 43, 26-110 Skarżysko-Kamienna,</w:t>
      </w:r>
    </w:p>
    <w:p w:rsidR="006D4C75" w:rsidRPr="00A52EF3" w:rsidRDefault="006D4C75" w:rsidP="00F25FCA">
      <w:pPr>
        <w:numPr>
          <w:ilvl w:val="0"/>
          <w:numId w:val="22"/>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TONSMEIER WSCHÓD Sp. z o.o.  – ul. Wrocławska 3, 26-600 Radom,</w:t>
      </w:r>
    </w:p>
    <w:p w:rsidR="006D4C75" w:rsidRPr="00A52EF3" w:rsidRDefault="006D4C75" w:rsidP="00F25FCA">
      <w:pPr>
        <w:numPr>
          <w:ilvl w:val="0"/>
          <w:numId w:val="22"/>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„EKOM” Maciejczyk Spółka Jawna, ul. Paderewskiego 18, 25-004 Kielce,</w:t>
      </w:r>
    </w:p>
    <w:p w:rsidR="006D4C75" w:rsidRPr="00A52EF3" w:rsidRDefault="006D4C75" w:rsidP="00F25FCA">
      <w:pPr>
        <w:numPr>
          <w:ilvl w:val="0"/>
          <w:numId w:val="22"/>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Zakład Oczyszczania Miasta Zofia Kozłowska, ul. Krakowska 211, Skarżysko-Kamienna 26-110,</w:t>
      </w:r>
    </w:p>
    <w:p w:rsidR="006D4C75" w:rsidRPr="00A52EF3" w:rsidRDefault="006D4C75" w:rsidP="00F25FCA">
      <w:pPr>
        <w:numPr>
          <w:ilvl w:val="0"/>
          <w:numId w:val="2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Remondis Sp. z o.o. Oddział w Ostrowcu Świętokrzyskim, ul. Gulińskiego 13A, Ostrowiec Świętokrzyski 27-400,</w:t>
      </w:r>
    </w:p>
    <w:p w:rsidR="006D4C75" w:rsidRPr="00A52EF3" w:rsidRDefault="006D4C75" w:rsidP="00F25FCA">
      <w:pPr>
        <w:numPr>
          <w:ilvl w:val="0"/>
          <w:numId w:val="2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Jarosław Wójcik „ORKAN” Wywóz i Utylizacja Odpadów Komunalnych Stałych </w:t>
      </w:r>
      <w:r w:rsidR="00BD7A3A" w:rsidRPr="00A52EF3">
        <w:rPr>
          <w:rFonts w:ascii="Times New Roman" w:eastAsia="Calibri" w:hAnsi="Times New Roman" w:cs="Times New Roman"/>
          <w:sz w:val="24"/>
        </w:rPr>
        <w:br/>
      </w:r>
      <w:r w:rsidRPr="00A52EF3">
        <w:rPr>
          <w:rFonts w:ascii="Times New Roman" w:eastAsia="Calibri" w:hAnsi="Times New Roman" w:cs="Times New Roman"/>
          <w:sz w:val="24"/>
        </w:rPr>
        <w:t>i Płynnych, ul. Relaksowa 36, 27-230 Brody,</w:t>
      </w:r>
    </w:p>
    <w:p w:rsidR="006D4C75" w:rsidRPr="00A52EF3" w:rsidRDefault="006D4C75" w:rsidP="000A22A7">
      <w:pPr>
        <w:numPr>
          <w:ilvl w:val="0"/>
          <w:numId w:val="2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Przedsiębiorstwo Usług Komunalnych ATK Recykling, ul. Chorzowska 3, 26-600 Radom.</w:t>
      </w:r>
    </w:p>
    <w:p w:rsidR="00DB5B31" w:rsidRPr="00A52EF3" w:rsidRDefault="00DB5B31" w:rsidP="00DB5B31">
      <w:pPr>
        <w:spacing w:after="0" w:line="360" w:lineRule="auto"/>
        <w:ind w:left="720"/>
        <w:contextualSpacing/>
        <w:jc w:val="both"/>
        <w:rPr>
          <w:rFonts w:ascii="Times New Roman" w:eastAsia="Calibri" w:hAnsi="Times New Roman" w:cs="Times New Roman"/>
          <w:sz w:val="24"/>
        </w:rPr>
      </w:pPr>
    </w:p>
    <w:tbl>
      <w:tblPr>
        <w:tblStyle w:val="Jasnasiatkaakcent111"/>
        <w:tblW w:w="0" w:type="auto"/>
        <w:jc w:val="center"/>
        <w:tblLayout w:type="fixed"/>
        <w:tblLook w:val="04A0" w:firstRow="1" w:lastRow="0" w:firstColumn="1" w:lastColumn="0" w:noHBand="0" w:noVBand="1"/>
      </w:tblPr>
      <w:tblGrid>
        <w:gridCol w:w="3402"/>
        <w:gridCol w:w="851"/>
        <w:gridCol w:w="992"/>
        <w:gridCol w:w="992"/>
        <w:gridCol w:w="993"/>
        <w:gridCol w:w="992"/>
        <w:gridCol w:w="958"/>
      </w:tblGrid>
      <w:tr w:rsidR="006D4C75" w:rsidRPr="00A52EF3" w:rsidTr="00D871E8">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Zmieszane odpady zebrane w ciągu roku</w:t>
            </w:r>
          </w:p>
        </w:tc>
        <w:tc>
          <w:tcPr>
            <w:tcW w:w="851"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Jedn. miary</w:t>
            </w:r>
          </w:p>
        </w:tc>
        <w:tc>
          <w:tcPr>
            <w:tcW w:w="992"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2010</w:t>
            </w:r>
          </w:p>
        </w:tc>
        <w:tc>
          <w:tcPr>
            <w:tcW w:w="992"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2011</w:t>
            </w:r>
          </w:p>
        </w:tc>
        <w:tc>
          <w:tcPr>
            <w:tcW w:w="993"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2012</w:t>
            </w:r>
          </w:p>
        </w:tc>
        <w:tc>
          <w:tcPr>
            <w:tcW w:w="992"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2013</w:t>
            </w:r>
          </w:p>
        </w:tc>
        <w:tc>
          <w:tcPr>
            <w:tcW w:w="958" w:type="dxa"/>
            <w:vAlign w:val="center"/>
          </w:tcPr>
          <w:p w:rsidR="006D4C75" w:rsidRPr="00A52EF3" w:rsidRDefault="006D4C75" w:rsidP="00F25F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rPr>
            </w:pPr>
            <w:r w:rsidRPr="00A52EF3">
              <w:rPr>
                <w:rFonts w:ascii="Times New Roman" w:eastAsia="Calibri" w:hAnsi="Times New Roman"/>
                <w:sz w:val="24"/>
              </w:rPr>
              <w:t>2014</w:t>
            </w:r>
          </w:p>
        </w:tc>
      </w:tr>
      <w:tr w:rsidR="006D4C75" w:rsidRPr="00A52EF3" w:rsidTr="000A22A7">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ogółem</w:t>
            </w:r>
          </w:p>
        </w:tc>
        <w:tc>
          <w:tcPr>
            <w:tcW w:w="851"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t</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828,95</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772,46</w:t>
            </w:r>
          </w:p>
        </w:tc>
        <w:tc>
          <w:tcPr>
            <w:tcW w:w="993"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571,85</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546,88</w:t>
            </w:r>
          </w:p>
        </w:tc>
        <w:tc>
          <w:tcPr>
            <w:tcW w:w="958"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537,32</w:t>
            </w:r>
          </w:p>
        </w:tc>
      </w:tr>
      <w:tr w:rsidR="006D4C75" w:rsidRPr="00A52EF3" w:rsidTr="000A22A7">
        <w:trPr>
          <w:cnfStyle w:val="000000010000" w:firstRow="0" w:lastRow="0" w:firstColumn="0" w:lastColumn="0" w:oddVBand="0" w:evenVBand="0" w:oddHBand="0" w:evenHBand="1"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ogółem na 1 mieszkańca</w:t>
            </w:r>
          </w:p>
        </w:tc>
        <w:tc>
          <w:tcPr>
            <w:tcW w:w="851"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kg</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74,3</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69,2</w:t>
            </w:r>
          </w:p>
        </w:tc>
        <w:tc>
          <w:tcPr>
            <w:tcW w:w="993"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51,2</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49,1</w:t>
            </w:r>
          </w:p>
        </w:tc>
        <w:tc>
          <w:tcPr>
            <w:tcW w:w="958"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48,3</w:t>
            </w:r>
          </w:p>
        </w:tc>
      </w:tr>
      <w:tr w:rsidR="006D4C75" w:rsidRPr="00A52EF3" w:rsidTr="00D871E8">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z gospodarstw domowych</w:t>
            </w:r>
          </w:p>
        </w:tc>
        <w:tc>
          <w:tcPr>
            <w:tcW w:w="851"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t</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621,09</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459,96</w:t>
            </w:r>
          </w:p>
        </w:tc>
        <w:tc>
          <w:tcPr>
            <w:tcW w:w="993"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447,60</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377,00</w:t>
            </w:r>
          </w:p>
        </w:tc>
        <w:tc>
          <w:tcPr>
            <w:tcW w:w="958"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317,84</w:t>
            </w:r>
          </w:p>
        </w:tc>
      </w:tr>
      <w:tr w:rsidR="006D4C75" w:rsidRPr="00A52EF3" w:rsidTr="00D871E8">
        <w:trPr>
          <w:cnfStyle w:val="000000010000" w:firstRow="0" w:lastRow="0" w:firstColumn="0" w:lastColumn="0" w:oddVBand="0" w:evenVBand="0" w:oddHBand="0" w:evenHBand="1"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odpady z gosp. dom. przypadające na 1 mieszkańca</w:t>
            </w:r>
          </w:p>
        </w:tc>
        <w:tc>
          <w:tcPr>
            <w:tcW w:w="851"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kg</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55,7</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41,2</w:t>
            </w:r>
          </w:p>
        </w:tc>
        <w:tc>
          <w:tcPr>
            <w:tcW w:w="993"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40,1</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33,8</w:t>
            </w:r>
          </w:p>
        </w:tc>
        <w:tc>
          <w:tcPr>
            <w:tcW w:w="958"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28,5</w:t>
            </w:r>
          </w:p>
        </w:tc>
      </w:tr>
      <w:tr w:rsidR="006D4C75" w:rsidRPr="00A52EF3" w:rsidTr="00D871E8">
        <w:trPr>
          <w:cnfStyle w:val="000000100000" w:firstRow="0" w:lastRow="0" w:firstColumn="0" w:lastColumn="0" w:oddVBand="0" w:evenVBand="0" w:oddHBand="1"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budynki mieszkalne objęte zbieraniem odpadów z gosp. dom.</w:t>
            </w:r>
          </w:p>
        </w:tc>
        <w:tc>
          <w:tcPr>
            <w:tcW w:w="851"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szt.</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3029</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3035</w:t>
            </w:r>
          </w:p>
        </w:tc>
        <w:tc>
          <w:tcPr>
            <w:tcW w:w="993"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2189</w:t>
            </w:r>
          </w:p>
        </w:tc>
        <w:tc>
          <w:tcPr>
            <w:tcW w:w="992"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w:t>
            </w:r>
          </w:p>
        </w:tc>
        <w:tc>
          <w:tcPr>
            <w:tcW w:w="958" w:type="dxa"/>
            <w:vAlign w:val="center"/>
          </w:tcPr>
          <w:p w:rsidR="006D4C75" w:rsidRPr="00A52EF3" w:rsidRDefault="006D4C7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w:t>
            </w:r>
          </w:p>
        </w:tc>
      </w:tr>
      <w:tr w:rsidR="006D4C75" w:rsidRPr="00A52EF3" w:rsidTr="00D871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D4C75" w:rsidRPr="00A52EF3" w:rsidRDefault="006D4C75" w:rsidP="00F25FCA">
            <w:pPr>
              <w:spacing w:line="360" w:lineRule="auto"/>
              <w:jc w:val="center"/>
              <w:rPr>
                <w:rFonts w:ascii="Times New Roman" w:eastAsia="Calibri" w:hAnsi="Times New Roman"/>
                <w:sz w:val="24"/>
              </w:rPr>
            </w:pPr>
            <w:r w:rsidRPr="00A52EF3">
              <w:rPr>
                <w:rFonts w:ascii="Times New Roman" w:eastAsia="Calibri" w:hAnsi="Times New Roman"/>
                <w:sz w:val="24"/>
              </w:rPr>
              <w:t>jednostki odbierające odpady w badanym roku wg obszaru działalności</w:t>
            </w:r>
          </w:p>
        </w:tc>
        <w:tc>
          <w:tcPr>
            <w:tcW w:w="851"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szt.</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6</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w:t>
            </w:r>
          </w:p>
        </w:tc>
        <w:tc>
          <w:tcPr>
            <w:tcW w:w="993"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w:t>
            </w:r>
          </w:p>
        </w:tc>
        <w:tc>
          <w:tcPr>
            <w:tcW w:w="992" w:type="dxa"/>
            <w:vAlign w:val="center"/>
          </w:tcPr>
          <w:p w:rsidR="006D4C75" w:rsidRPr="00A52EF3" w:rsidRDefault="006D4C75" w:rsidP="00F25FC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4</w:t>
            </w:r>
          </w:p>
        </w:tc>
        <w:tc>
          <w:tcPr>
            <w:tcW w:w="958" w:type="dxa"/>
            <w:vAlign w:val="center"/>
          </w:tcPr>
          <w:p w:rsidR="006D4C75" w:rsidRPr="00A52EF3" w:rsidRDefault="006D4C75" w:rsidP="00F25FCA">
            <w:pPr>
              <w:keepNex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rPr>
            </w:pPr>
            <w:r w:rsidRPr="00A52EF3">
              <w:rPr>
                <w:rFonts w:ascii="Times New Roman" w:eastAsia="Calibri" w:hAnsi="Times New Roman" w:cs="Times New Roman"/>
                <w:sz w:val="24"/>
              </w:rPr>
              <w:t>5</w:t>
            </w:r>
          </w:p>
        </w:tc>
      </w:tr>
    </w:tbl>
    <w:p w:rsidR="006D4C75" w:rsidRPr="00A52EF3" w:rsidRDefault="00BD7A3A" w:rsidP="00F25FCA">
      <w:pPr>
        <w:pStyle w:val="Legenda"/>
        <w:spacing w:line="360" w:lineRule="auto"/>
        <w:rPr>
          <w:rFonts w:ascii="Times New Roman"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5</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Ilość zmieszanych odpadów zebranych w latach 2010-2014</w:t>
      </w:r>
    </w:p>
    <w:p w:rsidR="006D4C75" w:rsidRPr="00A52EF3" w:rsidRDefault="006D4C75"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 xml:space="preserve">Powyższa tabela pokazuje, że w ciągu ostatnich kilku lat ilość zbieranych odpadów zmieszanych maleje, co wskazuje na skuteczną selektywną zbiórkę odpadów. </w:t>
      </w:r>
    </w:p>
    <w:p w:rsidR="006D4C75" w:rsidRPr="00A52EF3" w:rsidRDefault="006D4C75" w:rsidP="00F25FCA">
      <w:pPr>
        <w:spacing w:after="0" w:line="360" w:lineRule="auto"/>
        <w:jc w:val="both"/>
        <w:rPr>
          <w:rFonts w:ascii="Times New Roman" w:eastAsia="Calibri" w:hAnsi="Times New Roman" w:cs="Times New Roman"/>
          <w:sz w:val="24"/>
        </w:rPr>
      </w:pPr>
    </w:p>
    <w:p w:rsidR="00DB5B31" w:rsidRPr="00A52EF3" w:rsidRDefault="006D4C75" w:rsidP="00DB5B31">
      <w:pPr>
        <w:keepNext/>
        <w:spacing w:after="0" w:line="360" w:lineRule="auto"/>
        <w:jc w:val="center"/>
        <w:rPr>
          <w:rFonts w:ascii="Times New Roman" w:hAnsi="Times New Roman" w:cs="Times New Roman"/>
        </w:rPr>
      </w:pPr>
      <w:r w:rsidRPr="00A52EF3">
        <w:rPr>
          <w:rFonts w:ascii="Times New Roman" w:eastAsia="Calibri" w:hAnsi="Times New Roman" w:cs="Times New Roman"/>
          <w:noProof/>
          <w:sz w:val="24"/>
          <w:lang w:eastAsia="pl-PL"/>
        </w:rPr>
        <w:drawing>
          <wp:inline distT="0" distB="0" distL="0" distR="0" wp14:anchorId="241A3474" wp14:editId="1C5B0CE0">
            <wp:extent cx="4772025" cy="3033870"/>
            <wp:effectExtent l="19050" t="0" r="9525"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772025" cy="3033870"/>
                    </a:xfrm>
                    <a:prstGeom prst="rect">
                      <a:avLst/>
                    </a:prstGeom>
                    <a:noFill/>
                    <a:ln w="9525">
                      <a:noFill/>
                      <a:miter lim="800000"/>
                      <a:headEnd/>
                      <a:tailEnd/>
                    </a:ln>
                  </pic:spPr>
                </pic:pic>
              </a:graphicData>
            </a:graphic>
          </wp:inline>
        </w:drawing>
      </w:r>
    </w:p>
    <w:p w:rsidR="006D4C75" w:rsidRPr="00A52EF3" w:rsidRDefault="00DB5B31" w:rsidP="00DB5B31">
      <w:pPr>
        <w:pStyle w:val="Legenda"/>
        <w:jc w:val="center"/>
        <w:rPr>
          <w:rFonts w:ascii="Times New Roman" w:hAnsi="Times New Roman" w:cs="Times New Roman"/>
          <w:color w:val="auto"/>
        </w:rPr>
      </w:pPr>
      <w:r w:rsidRPr="00A52EF3">
        <w:rPr>
          <w:rFonts w:ascii="Times New Roman" w:hAnsi="Times New Roman" w:cs="Times New Roman"/>
          <w:color w:val="auto"/>
        </w:rPr>
        <w:t xml:space="preserve">Wykres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Wykres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3</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Morfologia zebranych odpadów w gminie Brody w 2015r. (Źródło: Urząd Gminy Brody)</w:t>
      </w:r>
    </w:p>
    <w:p w:rsidR="008F14EE" w:rsidRPr="00A52EF3" w:rsidRDefault="008F14EE" w:rsidP="00F25FCA">
      <w:pPr>
        <w:pStyle w:val="Nagwek2"/>
        <w:spacing w:after="240" w:line="360" w:lineRule="auto"/>
        <w:rPr>
          <w:rFonts w:ascii="Times New Roman" w:hAnsi="Times New Roman" w:cs="Times New Roman"/>
          <w:color w:val="auto"/>
        </w:rPr>
      </w:pPr>
    </w:p>
    <w:p w:rsidR="00BD7A3A" w:rsidRPr="00A52EF3" w:rsidRDefault="00BD7A3A" w:rsidP="00F61B30">
      <w:pPr>
        <w:pStyle w:val="Nagwek2"/>
        <w:numPr>
          <w:ilvl w:val="1"/>
          <w:numId w:val="86"/>
        </w:numPr>
        <w:spacing w:after="240" w:line="360" w:lineRule="auto"/>
        <w:rPr>
          <w:rFonts w:ascii="Times New Roman" w:hAnsi="Times New Roman" w:cs="Times New Roman"/>
          <w:color w:val="auto"/>
        </w:rPr>
      </w:pPr>
      <w:bookmarkStart w:id="19" w:name="_Toc470763994"/>
      <w:r w:rsidRPr="00A52EF3">
        <w:rPr>
          <w:rFonts w:ascii="Times New Roman" w:hAnsi="Times New Roman" w:cs="Times New Roman"/>
          <w:color w:val="auto"/>
        </w:rPr>
        <w:t>Gospodarka wodno – ściekowa</w:t>
      </w:r>
      <w:bookmarkEnd w:id="19"/>
    </w:p>
    <w:p w:rsidR="00BD7A3A" w:rsidRPr="00A52EF3" w:rsidRDefault="00BD7A3A" w:rsidP="00F61B30">
      <w:pPr>
        <w:pStyle w:val="Akapitzlist"/>
        <w:numPr>
          <w:ilvl w:val="2"/>
          <w:numId w:val="86"/>
        </w:numPr>
        <w:spacing w:after="0" w:line="360" w:lineRule="auto"/>
        <w:jc w:val="both"/>
        <w:rPr>
          <w:rFonts w:ascii="Times New Roman" w:eastAsia="Calibri" w:hAnsi="Times New Roman" w:cs="Times New Roman"/>
          <w:b/>
          <w:sz w:val="24"/>
        </w:rPr>
      </w:pPr>
      <w:r w:rsidRPr="00A52EF3">
        <w:rPr>
          <w:rFonts w:ascii="Times New Roman" w:eastAsia="Calibri" w:hAnsi="Times New Roman" w:cs="Times New Roman"/>
          <w:b/>
          <w:sz w:val="24"/>
        </w:rPr>
        <w:t>Wody podziemne</w:t>
      </w:r>
    </w:p>
    <w:p w:rsidR="008F14EE"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Teren gminy Brody znajduje się w granicach Głównego Zbiornika Wód Podziemnych Nr 420 – Wierzbica – Ostrowiec oraz w obrębie obszaru wysokiej ochrony (OWO) tego zbiornika, która wynosi 175 km</w:t>
      </w:r>
      <w:r w:rsidRPr="00A52EF3">
        <w:rPr>
          <w:rFonts w:ascii="Times New Roman" w:eastAsia="Calibri" w:hAnsi="Times New Roman" w:cs="Times New Roman"/>
          <w:sz w:val="24"/>
          <w:vertAlign w:val="superscript"/>
        </w:rPr>
        <w:t>2</w:t>
      </w:r>
      <w:r w:rsidRPr="00A52EF3">
        <w:rPr>
          <w:rFonts w:ascii="Times New Roman" w:eastAsia="Calibri" w:hAnsi="Times New Roman" w:cs="Times New Roman"/>
          <w:sz w:val="24"/>
        </w:rPr>
        <w:t>. Jest to zbiornik szczelinowo-krasowy, a jego zasoby dyspozycyjne wynoszą 101,25 tys.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/d. Powierzchnia zbiornika wynosi  659 km</w:t>
      </w:r>
      <w:r w:rsidRPr="00A52EF3">
        <w:rPr>
          <w:rFonts w:ascii="Times New Roman" w:eastAsia="Calibri" w:hAnsi="Times New Roman" w:cs="Times New Roman"/>
          <w:sz w:val="24"/>
          <w:vertAlign w:val="superscript"/>
        </w:rPr>
        <w:t xml:space="preserve">2 </w:t>
      </w:r>
      <w:r w:rsidRPr="00A52EF3">
        <w:rPr>
          <w:rFonts w:ascii="Times New Roman" w:eastAsia="Calibri" w:hAnsi="Times New Roman" w:cs="Times New Roman"/>
          <w:sz w:val="24"/>
        </w:rPr>
        <w:t xml:space="preserve">i pokrywa się z powierzchnią obszaru jego najwyższej ochrony (ONO). Gminne strefy zasobności wód podziemnych położone są pasmowo na kierunku NW – SE. Centralny obszar gminy charakteryzuje się małą i średnią zasobnością. W południowo-zachodniej części gminy występują strefy o minimalnej zasobności, a także w niewielkim zasięgu bezwodne. </w:t>
      </w: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Podstawowe użytkowe poziomy wodonośne Gminy Brody to:</w:t>
      </w:r>
    </w:p>
    <w:p w:rsidR="00BD7A3A" w:rsidRPr="00A52EF3" w:rsidRDefault="00BD7A3A" w:rsidP="008F14EE">
      <w:pPr>
        <w:numPr>
          <w:ilvl w:val="0"/>
          <w:numId w:val="25"/>
        </w:numPr>
        <w:spacing w:after="0" w:line="360" w:lineRule="auto"/>
        <w:ind w:left="426"/>
        <w:contextualSpacing/>
        <w:jc w:val="both"/>
        <w:rPr>
          <w:rFonts w:ascii="Times New Roman" w:eastAsia="Calibri" w:hAnsi="Times New Roman" w:cs="Times New Roman"/>
          <w:sz w:val="24"/>
        </w:rPr>
      </w:pPr>
      <w:r w:rsidRPr="00A52EF3">
        <w:rPr>
          <w:rFonts w:ascii="Times New Roman" w:eastAsia="Calibri" w:hAnsi="Times New Roman" w:cs="Times New Roman"/>
          <w:sz w:val="24"/>
        </w:rPr>
        <w:t>poziom czwartorzędowy – nieciągły; o niewielkiej miąższości; zalega w lokalnie występujących osadach piaszczystych, rzecznych lub wodnolodowcowych i żwirach; gromadzi wody typu porowego; zasilany bezpośrednio przez opady atmosferyczne; jego wydajność jest zróżnicowana i wynosi 170-210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/dobę, a w dolinie Kamiennej sięga 100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/dobę; powszechnie ujmowany do eksploatacji studniami kopanymi lub wierconymi, </w:t>
      </w:r>
    </w:p>
    <w:p w:rsidR="00BD7A3A" w:rsidRPr="00A52EF3" w:rsidRDefault="00BD7A3A" w:rsidP="008F14EE">
      <w:pPr>
        <w:numPr>
          <w:ilvl w:val="0"/>
          <w:numId w:val="25"/>
        </w:numPr>
        <w:spacing w:after="0" w:line="360" w:lineRule="auto"/>
        <w:ind w:left="426"/>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poziom górno-jurajski – jego miąższość lokalnie sięga 200 m; występuje w marglach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i wapieniach; gromadzi wody typu szczelinowo-krasowego; wydajność zróżnicowana – od powyżej 100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 do 10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 /h; wysoka wydajność i dobra jakość wód tego poziomu, powoduje, że z jego zasobów wodnych korzysta  większość ujęć wodociągowych regionu, </w:t>
      </w:r>
    </w:p>
    <w:p w:rsidR="00BD7A3A" w:rsidRPr="00A52EF3" w:rsidRDefault="00BD7A3A" w:rsidP="008F14EE">
      <w:pPr>
        <w:numPr>
          <w:ilvl w:val="0"/>
          <w:numId w:val="25"/>
        </w:numPr>
        <w:spacing w:after="0" w:line="360" w:lineRule="auto"/>
        <w:ind w:left="426"/>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poziomy środkowo- i dolnojurajskie – ich parametry są zmienne, w związku ze zróżnicowanym profilem litologicznym utworów jury środkowej i dolnej; występuje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w piaskowcach i mułowcach; gromadzi wody typu porowego i porowo-szczelinowego; zasobność tych utworów (studnie) wynosi od 50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 do 90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w:t>
      </w:r>
    </w:p>
    <w:p w:rsidR="00BD7A3A" w:rsidRPr="00A52EF3" w:rsidRDefault="00BD7A3A" w:rsidP="008F14EE">
      <w:pPr>
        <w:numPr>
          <w:ilvl w:val="0"/>
          <w:numId w:val="25"/>
        </w:numPr>
        <w:spacing w:after="0" w:line="360" w:lineRule="auto"/>
        <w:ind w:left="426" w:hanging="283"/>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poziom dolno-triasowy – jego miąższość waha się od 30 do 80 m; występuje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w piaskowcach, zlepieńcach oraz mułowcach przewarstwionych iłami i iłowcami; zasobność tego poziomu jest niewielka – wydajność studni wynosi maksymalnie 90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/h; </w:t>
      </w: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Gminy Brody zaopatrywana jest w wodę poprzez system wodociągowy, oparty o dwa ujęcia wód podziemnych:</w:t>
      </w:r>
    </w:p>
    <w:p w:rsidR="00BD7A3A" w:rsidRPr="00A52EF3" w:rsidRDefault="00BD7A3A" w:rsidP="008F14EE">
      <w:pPr>
        <w:numPr>
          <w:ilvl w:val="0"/>
          <w:numId w:val="26"/>
        </w:numPr>
        <w:spacing w:after="0" w:line="360" w:lineRule="auto"/>
        <w:ind w:left="426"/>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ujęcie wodociągów miasta Starachowice – zlokalizowane w Trębowcu (gmina Mirzec), składa się z 7 studni górnojurajskich, znajdujących się na terenie gmin Iłża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i Mirzec. Wielkość zasobów eksploatacyjnych, zatwierdzonych w kategorii „B”, wynosi 1340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 Ujęciu towarzyszy stacja uzdatniania wody w Trębowcu oraz pompownia w Majówce. Ujęcie to zaopatruje w wodę miasto Starachowice oraz gminy: Mirzec, Wąchock i Brody – 50% jej zapotrzebowania, co stanowi około 250 tys.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/rok,</w:t>
      </w:r>
    </w:p>
    <w:p w:rsidR="00BD7A3A" w:rsidRPr="00A52EF3" w:rsidRDefault="00BD7A3A" w:rsidP="008F14EE">
      <w:pPr>
        <w:numPr>
          <w:ilvl w:val="0"/>
          <w:numId w:val="26"/>
        </w:numPr>
        <w:spacing w:after="0" w:line="360" w:lineRule="auto"/>
        <w:ind w:left="426"/>
        <w:contextualSpacing/>
        <w:jc w:val="both"/>
        <w:rPr>
          <w:rFonts w:ascii="Times New Roman" w:eastAsia="Calibri" w:hAnsi="Times New Roman" w:cs="Times New Roman"/>
          <w:sz w:val="24"/>
        </w:rPr>
      </w:pPr>
      <w:r w:rsidRPr="00A52EF3">
        <w:rPr>
          <w:rFonts w:ascii="Times New Roman" w:eastAsia="Calibri" w:hAnsi="Times New Roman" w:cs="Times New Roman"/>
          <w:sz w:val="24"/>
        </w:rPr>
        <w:t>ujęcie wód dolnojurajskich w Krynkach – zaopatruje w wodę wodociąg grupowy miejscowości Krynki Duże, Krynki Małe i Brody. Zasoby eksploatacyjne tego ujęcia, zatwierdzone w kategorii „B”, wynoszą 28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/h, przy depresji s = 3,5 m. </w:t>
      </w:r>
    </w:p>
    <w:p w:rsidR="001238CC"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Na obszarze gminy istnieje także kilkanaście ujęć wód podziemnych, pozyskujących wodę z poziomu czwartorzędowego, górnojurajskiego i dolnotriasowego, które użytkowane są na potrzeby przemysłu i osób fizycznych. Ich łączna wydajność wynosi około 200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w:t>
      </w: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Gminna sieć wodociągowa (magistralna i rozdzielcza) posiada łączną długość powyżej 123 km (ponad 2620 przyłączy). Z sieci wodociągowej w gminie korzysta około 97% mieszkańców.</w:t>
      </w:r>
    </w:p>
    <w:p w:rsidR="001238CC" w:rsidRPr="00A52EF3" w:rsidRDefault="001238CC" w:rsidP="00F25FCA">
      <w:pPr>
        <w:spacing w:after="0" w:line="360" w:lineRule="auto"/>
        <w:jc w:val="both"/>
        <w:rPr>
          <w:rFonts w:ascii="Times New Roman" w:eastAsia="Calibri" w:hAnsi="Times New Roman" w:cs="Times New Roman"/>
          <w:sz w:val="24"/>
        </w:rPr>
      </w:pPr>
    </w:p>
    <w:p w:rsidR="00BD7A3A" w:rsidRPr="00A52EF3" w:rsidRDefault="00BD7A3A" w:rsidP="00F61B30">
      <w:pPr>
        <w:pStyle w:val="Akapitzlist"/>
        <w:numPr>
          <w:ilvl w:val="2"/>
          <w:numId w:val="86"/>
        </w:numPr>
        <w:spacing w:after="0" w:line="360" w:lineRule="auto"/>
        <w:jc w:val="both"/>
        <w:rPr>
          <w:rFonts w:ascii="Times New Roman" w:eastAsia="Calibri" w:hAnsi="Times New Roman" w:cs="Times New Roman"/>
          <w:b/>
          <w:sz w:val="24"/>
        </w:rPr>
      </w:pPr>
      <w:r w:rsidRPr="00A52EF3">
        <w:rPr>
          <w:rFonts w:ascii="Times New Roman" w:eastAsia="Calibri" w:hAnsi="Times New Roman" w:cs="Times New Roman"/>
          <w:b/>
          <w:sz w:val="24"/>
        </w:rPr>
        <w:t>Wody powierzchniowe</w:t>
      </w: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Gmina Brody znajduje się praktycznie w całości w granicach dorzecza II rzędu – rzeki Kamiennej, stanowiącej jeden z lewobrzeżnych, małopolskich dopływów Wisły. Niewielki północny obszar gminy odwadnia Iłżanka (rzeka II rzędu),  także będąca  lewobrzeżnym dopływem Wisły. Teren Gminy Brody położony jest zatem na niewielkim, lewobrzeżnym fragmencie zlewni Wisły środkowej.</w:t>
      </w: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Rzeka Kamienna stanowi oś hydrograficzną gminy Brody oraz odwadnia przeważający jej teren. Na gminnym odcinku rzeka płynie głęboko wciętą doliną o płaskim dnie, którego szerokość oscyluje w granicach od 0,5 km (górny odcinek) do 1,5 km (dolny odcinek – poniżej zbiornika Brody). W granicach gminy koryto rzeki jest w większości uregulowane, a częściowo także obwałowane. Na całym odcinku dna doliny Kamiennej,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 xml:space="preserve">w obrębie gminy Brody, występuje zagrożenie powodziowe. Poniżej przedstawiono przepływy charakterystyczne z wielolecia 1974 – 1990, notowane w wodowskazie Brody Iłżeckie (76,2km biegu rzeki): </w:t>
      </w:r>
    </w:p>
    <w:p w:rsidR="00BD7A3A" w:rsidRPr="00A52EF3" w:rsidRDefault="00BD7A3A" w:rsidP="00F25FCA">
      <w:pPr>
        <w:numPr>
          <w:ilvl w:val="0"/>
          <w:numId w:val="28"/>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WWQ: 154,00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BD7A3A" w:rsidRPr="00A52EF3" w:rsidRDefault="00BD7A3A" w:rsidP="00F25FCA">
      <w:pPr>
        <w:numPr>
          <w:ilvl w:val="0"/>
          <w:numId w:val="28"/>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SWQ: 34,20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BD7A3A" w:rsidRPr="00A52EF3" w:rsidRDefault="00BD7A3A" w:rsidP="00F25FCA">
      <w:pPr>
        <w:numPr>
          <w:ilvl w:val="0"/>
          <w:numId w:val="28"/>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SSQ: 3,88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BD7A3A" w:rsidRPr="00A52EF3" w:rsidRDefault="00BD7A3A" w:rsidP="00F25FCA">
      <w:pPr>
        <w:numPr>
          <w:ilvl w:val="0"/>
          <w:numId w:val="28"/>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SNQ: 1,07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BD7A3A" w:rsidRPr="00A52EF3" w:rsidRDefault="00BD7A3A" w:rsidP="00F25FCA">
      <w:pPr>
        <w:numPr>
          <w:ilvl w:val="0"/>
          <w:numId w:val="28"/>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NNQ: 0,50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8F14EE" w:rsidRPr="00A52EF3" w:rsidRDefault="008F14EE" w:rsidP="00F25FCA">
      <w:pPr>
        <w:spacing w:after="0" w:line="360" w:lineRule="auto"/>
        <w:jc w:val="both"/>
        <w:rPr>
          <w:rFonts w:ascii="Times New Roman" w:eastAsia="Calibri" w:hAnsi="Times New Roman" w:cs="Times New Roman"/>
          <w:sz w:val="24"/>
        </w:rPr>
      </w:pPr>
    </w:p>
    <w:p w:rsidR="00BD7A3A" w:rsidRPr="00A52EF3" w:rsidRDefault="00BD7A3A" w:rsidP="00F25FCA">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 xml:space="preserve">Lewobrzeżne dopływy rzeki Kamiennej: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Trojaków</w:t>
      </w:r>
      <w:r w:rsidRPr="00A52EF3">
        <w:rPr>
          <w:rFonts w:ascii="Times New Roman" w:eastAsia="Calibri" w:hAnsi="Times New Roman" w:cs="Times New Roman"/>
          <w:sz w:val="24"/>
        </w:rPr>
        <w:t xml:space="preserve"> - III rzędu, o długości około 2,5 km,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Adamowa</w:t>
      </w:r>
      <w:r w:rsidRPr="00A52EF3">
        <w:rPr>
          <w:rFonts w:ascii="Times New Roman" w:eastAsia="Calibri" w:hAnsi="Times New Roman" w:cs="Times New Roman"/>
          <w:sz w:val="24"/>
        </w:rPr>
        <w:t xml:space="preserve"> (kolonii Styków) - III rzędu, o długości 3,1 km,</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lastRenderedPageBreak/>
        <w:t>Ruśnia</w:t>
      </w:r>
      <w:r w:rsidRPr="00A52EF3">
        <w:rPr>
          <w:rFonts w:ascii="Times New Roman" w:eastAsia="Calibri" w:hAnsi="Times New Roman" w:cs="Times New Roman"/>
          <w:sz w:val="24"/>
        </w:rPr>
        <w:t xml:space="preserve">, znana także jako Struga Brody, Brodek, Świętojanka lub Lubianka - III rzędu, o długości 6,64 km,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Lubieni – Podlesia</w:t>
      </w:r>
      <w:r w:rsidRPr="00A52EF3">
        <w:rPr>
          <w:rFonts w:ascii="Times New Roman" w:eastAsia="Calibri" w:hAnsi="Times New Roman" w:cs="Times New Roman"/>
          <w:sz w:val="24"/>
        </w:rPr>
        <w:t xml:space="preserve"> - IV rzędu, o długości 3,8 km, lewobrzeżny dopływ Ruśni,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z Połągwi</w:t>
      </w:r>
      <w:r w:rsidRPr="00A52EF3">
        <w:rPr>
          <w:rFonts w:ascii="Times New Roman" w:eastAsia="Calibri" w:hAnsi="Times New Roman" w:cs="Times New Roman"/>
          <w:sz w:val="24"/>
        </w:rPr>
        <w:t xml:space="preserve"> - III rzędu, o długości 4,14 km. </w:t>
      </w:r>
    </w:p>
    <w:p w:rsidR="00BD7A3A" w:rsidRPr="00A52EF3" w:rsidRDefault="00BD7A3A" w:rsidP="00F25FCA">
      <w:pPr>
        <w:spacing w:after="0" w:line="360" w:lineRule="auto"/>
        <w:jc w:val="both"/>
        <w:rPr>
          <w:rFonts w:ascii="Times New Roman" w:eastAsia="Calibri" w:hAnsi="Times New Roman" w:cs="Times New Roman"/>
          <w:sz w:val="24"/>
        </w:rPr>
      </w:pPr>
    </w:p>
    <w:p w:rsidR="00BD7A3A" w:rsidRPr="00A52EF3" w:rsidRDefault="00BD7A3A" w:rsidP="00F25FCA">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Prawobrzeżne dopływy rzeki Kamiennej:</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Kuczowa</w:t>
      </w:r>
      <w:r w:rsidRPr="00A52EF3">
        <w:rPr>
          <w:rFonts w:ascii="Times New Roman" w:eastAsia="Calibri" w:hAnsi="Times New Roman" w:cs="Times New Roman"/>
          <w:sz w:val="24"/>
        </w:rPr>
        <w:t xml:space="preserve"> - rzeka III rzędu, o długości 4,25 km,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Boru Kunowskiego</w:t>
      </w:r>
      <w:r w:rsidRPr="00A52EF3">
        <w:rPr>
          <w:rFonts w:ascii="Times New Roman" w:eastAsia="Calibri" w:hAnsi="Times New Roman" w:cs="Times New Roman"/>
          <w:sz w:val="24"/>
        </w:rPr>
        <w:t xml:space="preserve">, nazywany Strugą Staw Kunowski - III rzędu, </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dopływ spod Smug</w:t>
      </w:r>
      <w:r w:rsidRPr="00A52EF3">
        <w:rPr>
          <w:rFonts w:ascii="Times New Roman" w:eastAsia="Calibri" w:hAnsi="Times New Roman" w:cs="Times New Roman"/>
          <w:sz w:val="24"/>
        </w:rPr>
        <w:t xml:space="preserve"> - III rzędu.</w:t>
      </w:r>
    </w:p>
    <w:p w:rsidR="00BD7A3A" w:rsidRPr="00A52EF3" w:rsidRDefault="00BD7A3A" w:rsidP="00F25FCA">
      <w:pPr>
        <w:spacing w:after="0" w:line="360" w:lineRule="auto"/>
        <w:jc w:val="both"/>
        <w:rPr>
          <w:rFonts w:ascii="Times New Roman" w:eastAsia="Calibri" w:hAnsi="Times New Roman" w:cs="Times New Roman"/>
          <w:sz w:val="24"/>
        </w:rPr>
      </w:pPr>
    </w:p>
    <w:p w:rsidR="00BD7A3A" w:rsidRPr="00A52EF3" w:rsidRDefault="00BD7A3A" w:rsidP="00F25FCA">
      <w:pPr>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Prawobrzeżne dopływy rzeki Iłżanki:</w:t>
      </w:r>
    </w:p>
    <w:p w:rsidR="00BD7A3A" w:rsidRPr="00A52EF3" w:rsidRDefault="00BD7A3A" w:rsidP="00F25FCA">
      <w:pPr>
        <w:numPr>
          <w:ilvl w:val="0"/>
          <w:numId w:val="29"/>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Brodek (Struga Trębowiec)</w:t>
      </w:r>
      <w:r w:rsidRPr="00A52EF3">
        <w:rPr>
          <w:rFonts w:ascii="Times New Roman" w:eastAsia="Calibri" w:hAnsi="Times New Roman" w:cs="Times New Roman"/>
          <w:sz w:val="24"/>
        </w:rPr>
        <w:t xml:space="preserve"> – III rzędu,</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Małyszyniec</w:t>
      </w:r>
      <w:r w:rsidRPr="00A52EF3">
        <w:rPr>
          <w:rFonts w:ascii="Times New Roman" w:eastAsia="Calibri" w:hAnsi="Times New Roman" w:cs="Times New Roman"/>
          <w:sz w:val="24"/>
        </w:rPr>
        <w:t xml:space="preserve"> – III rzędu – wpływa do niego ciek bez nazwy (IV rzędu), którego dopływem jest ciek zwany potocznie Kotyzką (V rzędu),</w:t>
      </w:r>
    </w:p>
    <w:p w:rsidR="00BD7A3A" w:rsidRPr="00A52EF3" w:rsidRDefault="00BD7A3A" w:rsidP="00F25FCA">
      <w:pPr>
        <w:numPr>
          <w:ilvl w:val="0"/>
          <w:numId w:val="27"/>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b/>
          <w:sz w:val="24"/>
        </w:rPr>
        <w:t>Błazinka</w:t>
      </w:r>
      <w:r w:rsidRPr="00A52EF3">
        <w:rPr>
          <w:rFonts w:ascii="Times New Roman" w:eastAsia="Calibri" w:hAnsi="Times New Roman" w:cs="Times New Roman"/>
          <w:sz w:val="24"/>
        </w:rPr>
        <w:t xml:space="preserve"> – III rzędu.</w:t>
      </w:r>
    </w:p>
    <w:p w:rsidR="00BD7A3A" w:rsidRPr="00A52EF3" w:rsidRDefault="00BD7A3A" w:rsidP="00F25FCA">
      <w:pPr>
        <w:spacing w:after="0" w:line="360" w:lineRule="auto"/>
        <w:jc w:val="both"/>
        <w:rPr>
          <w:rFonts w:ascii="Times New Roman" w:eastAsia="Calibri" w:hAnsi="Times New Roman" w:cs="Times New Roman"/>
          <w:sz w:val="24"/>
        </w:rPr>
      </w:pP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Sieć hydrograficzną gminy uzupełniają liczne rowy melioracyjne o łącznej długości 44712 mb (w tym 38212 mb w obrębie łąk i pastwisk oraz 6500 mb na gruntach ornych). Całkowita powierzchnia zmeliorowanych użytków zielonych wynosi 978,85 ha, a gruntów ornych - 134 ha. Na terenie gminy znajdują się liczne tereny podmokłe oraz źródła, wśród których najbardziej wydajne są źródła szczelinowe w Lipiu i Krynkach. </w:t>
      </w:r>
    </w:p>
    <w:p w:rsidR="008F14EE"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Do powierzchniowych wód stojących na obszarze Gminy Brody należy Zbiornik Brody Iłżeckie (Jezioro Brodzkie). Zbiornik ten jest jednym z ważniejszych obiektów hydrotechnicznego systemu zlewni Kamiennej. Pełni on funkcję przeciwpowodziową, polegającą na wyrównywaniu przepływów Kamiennej do gwarantowanych wielkości, a także energetyczną i rekreacyjną. Wykorzystywany jest również do uprawiania wędkarstwa. </w:t>
      </w:r>
    </w:p>
    <w:p w:rsidR="004A4AE0" w:rsidRPr="00A52EF3" w:rsidRDefault="004A4AE0" w:rsidP="00F25FCA">
      <w:pPr>
        <w:spacing w:after="0" w:line="360" w:lineRule="auto"/>
        <w:ind w:firstLine="708"/>
        <w:jc w:val="both"/>
        <w:rPr>
          <w:rFonts w:ascii="Times New Roman" w:eastAsia="Calibri" w:hAnsi="Times New Roman" w:cs="Times New Roman"/>
          <w:sz w:val="24"/>
        </w:rPr>
      </w:pPr>
    </w:p>
    <w:p w:rsidR="004A4AE0" w:rsidRPr="00A52EF3" w:rsidRDefault="004A4AE0" w:rsidP="00F25FCA">
      <w:pPr>
        <w:spacing w:after="0" w:line="360" w:lineRule="auto"/>
        <w:ind w:firstLine="708"/>
        <w:jc w:val="both"/>
        <w:rPr>
          <w:rFonts w:ascii="Times New Roman" w:eastAsia="Calibri" w:hAnsi="Times New Roman" w:cs="Times New Roman"/>
          <w:sz w:val="24"/>
        </w:rPr>
      </w:pP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 xml:space="preserve">Poniżej przedstawione zostały podstawowe dane zbiornika: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normalny poziom piętrzenia: 194,70 m n.p.m.,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maksymalny poziom piętrzenia: 195,10 m n.p.m.,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wysokość maksymalnego piętrzenia: 8,1 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pojemność całkowita: 7,59 mln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 ,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pojemność przeciwpowodziowa stała: 1,0 mln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powierzchnia zalewu przy maksymalnym piętrzeniu: 203,8 ha,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szerokość pod zaporą: 260 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długość: 5,3 km,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głębokość maksymalna: 6,0 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zapora czołowa ziemna z ekranem żelbetowym na skarpie odwodnej,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rzędna korony zapory: 198,60 m. n.p.m.,</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długość zapory: 368 m,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wysokość zapory: 9,60 m,</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szerokość korony zapory: 4,50 m,</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jaz żelbetowy z 3 przęsłami o świetle 5,80 m, każde o łącznej przepustowości 378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/s,</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mała elektrownia wodna, wbudowana w przyczółki jazu (dwa turbozespoły o mocy 55 kW każdy),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zapory boczne o łącznej długości 4200 m wraz z rowami odwadniającymi,  </w:t>
      </w:r>
    </w:p>
    <w:p w:rsidR="00BD7A3A" w:rsidRPr="00A52EF3" w:rsidRDefault="00BD7A3A" w:rsidP="00F25FCA">
      <w:pPr>
        <w:numPr>
          <w:ilvl w:val="0"/>
          <w:numId w:val="30"/>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pompownia odwadniająca tereny depresyjne, zlokalizowana w Stykowie.</w:t>
      </w: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Uzupełnieniem zbiornika są liczne drobne zbiorniki oraz zagłębienia bezodpływowe, które w większości są pozostałościami po eksploatacji rud żelaza (zbiornik „Płuczka”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 xml:space="preserve">w Zębcu) oraz oczka wodne i stawy (w miejscowości Adamów zlokalizowany jest ciąg 16 małych stawów). Na obszarze gminy Brody znajdują się również stawy rybne (Krynki),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 xml:space="preserve">a także starorzecza rzeki Kamiennej oraz satelitarne zbiorniki Jeziora Brodzkiego – Oczko </w:t>
      </w:r>
      <w:r w:rsidR="001238CC" w:rsidRPr="00A52EF3">
        <w:rPr>
          <w:rFonts w:ascii="Times New Roman" w:eastAsia="Calibri" w:hAnsi="Times New Roman" w:cs="Times New Roman"/>
          <w:sz w:val="24"/>
        </w:rPr>
        <w:br/>
      </w:r>
      <w:r w:rsidRPr="00A52EF3">
        <w:rPr>
          <w:rFonts w:ascii="Times New Roman" w:eastAsia="Calibri" w:hAnsi="Times New Roman" w:cs="Times New Roman"/>
          <w:sz w:val="24"/>
        </w:rPr>
        <w:t>i Relax. Ich łączna pojemność wynosi ponad 3400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 xml:space="preserve"> .</w:t>
      </w:r>
    </w:p>
    <w:p w:rsidR="00AE756A" w:rsidRPr="00A52EF3" w:rsidRDefault="00AE756A" w:rsidP="00F25FCA">
      <w:pPr>
        <w:spacing w:after="0" w:line="360" w:lineRule="auto"/>
        <w:ind w:firstLine="708"/>
        <w:jc w:val="both"/>
        <w:rPr>
          <w:rFonts w:ascii="Times New Roman" w:eastAsia="Calibri" w:hAnsi="Times New Roman" w:cs="Times New Roman"/>
          <w:sz w:val="24"/>
        </w:rPr>
      </w:pPr>
    </w:p>
    <w:p w:rsidR="006423D9" w:rsidRPr="00A52EF3" w:rsidRDefault="006423D9" w:rsidP="00F25FCA">
      <w:pPr>
        <w:spacing w:after="0" w:line="360" w:lineRule="auto"/>
        <w:ind w:firstLine="708"/>
        <w:jc w:val="both"/>
        <w:rPr>
          <w:rFonts w:ascii="Times New Roman" w:eastAsia="Calibri" w:hAnsi="Times New Roman" w:cs="Times New Roman"/>
          <w:sz w:val="24"/>
        </w:rPr>
      </w:pPr>
    </w:p>
    <w:tbl>
      <w:tblPr>
        <w:tblStyle w:val="Tabela-Siatka"/>
        <w:tblW w:w="0" w:type="auto"/>
        <w:tblLook w:val="04A0" w:firstRow="1" w:lastRow="0" w:firstColumn="1" w:lastColumn="0" w:noHBand="0" w:noVBand="1"/>
      </w:tblPr>
      <w:tblGrid>
        <w:gridCol w:w="5208"/>
        <w:gridCol w:w="816"/>
        <w:gridCol w:w="816"/>
        <w:gridCol w:w="816"/>
        <w:gridCol w:w="816"/>
        <w:gridCol w:w="816"/>
      </w:tblGrid>
      <w:tr w:rsidR="00CC547F" w:rsidRPr="00A52EF3" w:rsidTr="006423D9">
        <w:trPr>
          <w:trHeight w:val="1130"/>
        </w:trPr>
        <w:tc>
          <w:tcPr>
            <w:tcW w:w="0" w:type="auto"/>
            <w:gridSpan w:val="6"/>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lastRenderedPageBreak/>
              <w:t>Charakterystyka sieci wodociągowej w Gminie Brody w latach 2010-2014</w:t>
            </w:r>
            <w:r w:rsidRPr="00A52EF3">
              <w:rPr>
                <w:rFonts w:ascii="Times New Roman" w:hAnsi="Times New Roman" w:cs="Times New Roman"/>
                <w:b/>
                <w:sz w:val="24"/>
                <w:szCs w:val="24"/>
              </w:rPr>
              <w:br/>
            </w:r>
            <w:r w:rsidRPr="00A52EF3">
              <w:rPr>
                <w:rFonts w:ascii="Times New Roman" w:hAnsi="Times New Roman" w:cs="Times New Roman"/>
                <w:sz w:val="24"/>
                <w:szCs w:val="24"/>
              </w:rPr>
              <w:t>(stan na 31.12. każdego roku)</w:t>
            </w:r>
          </w:p>
        </w:tc>
      </w:tr>
      <w:tr w:rsidR="00CC547F" w:rsidRPr="00A52EF3" w:rsidTr="006423D9">
        <w:trPr>
          <w:trHeight w:val="540"/>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Rok</w:t>
            </w:r>
          </w:p>
        </w:tc>
        <w:tc>
          <w:tcPr>
            <w:tcW w:w="0" w:type="auto"/>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2010</w:t>
            </w:r>
          </w:p>
        </w:tc>
        <w:tc>
          <w:tcPr>
            <w:tcW w:w="0" w:type="auto"/>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2011</w:t>
            </w:r>
          </w:p>
        </w:tc>
        <w:tc>
          <w:tcPr>
            <w:tcW w:w="0" w:type="auto"/>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2012</w:t>
            </w:r>
          </w:p>
        </w:tc>
        <w:tc>
          <w:tcPr>
            <w:tcW w:w="0" w:type="auto"/>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2013</w:t>
            </w:r>
          </w:p>
        </w:tc>
        <w:tc>
          <w:tcPr>
            <w:tcW w:w="0" w:type="auto"/>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2014</w:t>
            </w:r>
          </w:p>
        </w:tc>
      </w:tr>
      <w:tr w:rsidR="00CC547F" w:rsidRPr="00A52EF3" w:rsidTr="006423D9">
        <w:trPr>
          <w:trHeight w:val="580"/>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Długość czynnej sieci rozdzielczej [km]</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124,1</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124,2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124,2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124,2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124,2</w:t>
            </w:r>
          </w:p>
        </w:tc>
      </w:tr>
      <w:tr w:rsidR="00CC547F" w:rsidRPr="00A52EF3" w:rsidTr="006423D9">
        <w:trPr>
          <w:trHeight w:val="532"/>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 xml:space="preserve">Przyłącza prowadzące do budynków mieszkalnych </w:t>
            </w:r>
            <w:r w:rsidRPr="00A52EF3">
              <w:rPr>
                <w:rFonts w:ascii="Times New Roman" w:hAnsi="Times New Roman" w:cs="Times New Roman"/>
                <w:b/>
                <w:sz w:val="24"/>
                <w:szCs w:val="24"/>
              </w:rPr>
              <w:br/>
              <w:t>i zbiorowego zamieszkania [szt.]</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2802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2864</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2908</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2939</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2965</w:t>
            </w:r>
          </w:p>
        </w:tc>
      </w:tr>
      <w:tr w:rsidR="00CC547F" w:rsidRPr="00A52EF3" w:rsidTr="006423D9">
        <w:trPr>
          <w:trHeight w:val="568"/>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Woda dostarczona gospodarstwom domowym [dam</w:t>
            </w:r>
            <w:r w:rsidRPr="00A52EF3">
              <w:rPr>
                <w:rFonts w:ascii="Times New Roman" w:hAnsi="Times New Roman" w:cs="Times New Roman"/>
                <w:b/>
                <w:sz w:val="24"/>
                <w:szCs w:val="24"/>
                <w:vertAlign w:val="superscript"/>
              </w:rPr>
              <w:t>3</w:t>
            </w:r>
            <w:r w:rsidRPr="00A52EF3">
              <w:rPr>
                <w:rFonts w:ascii="Times New Roman" w:hAnsi="Times New Roman" w:cs="Times New Roman"/>
                <w:b/>
                <w:sz w:val="24"/>
                <w:szCs w:val="24"/>
              </w:rPr>
              <w:t>]</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203,2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204,9</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207,8</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223,7</w:t>
            </w:r>
          </w:p>
        </w:tc>
        <w:tc>
          <w:tcPr>
            <w:tcW w:w="0" w:type="auto"/>
            <w:vAlign w:val="center"/>
          </w:tcPr>
          <w:p w:rsidR="006423D9" w:rsidRPr="00A52EF3" w:rsidRDefault="006423D9" w:rsidP="00F25FCA">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217,4</w:t>
            </w:r>
          </w:p>
        </w:tc>
      </w:tr>
      <w:tr w:rsidR="00CC547F" w:rsidRPr="00A52EF3" w:rsidTr="006423D9">
        <w:trPr>
          <w:trHeight w:val="568"/>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Ludność korzystająca z sieci wodociągowej [osoba]</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10084</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10081</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10110</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10142</w:t>
            </w:r>
          </w:p>
        </w:tc>
        <w:tc>
          <w:tcPr>
            <w:tcW w:w="0" w:type="auto"/>
            <w:vAlign w:val="center"/>
          </w:tcPr>
          <w:p w:rsidR="006423D9" w:rsidRPr="00A52EF3" w:rsidRDefault="006423D9" w:rsidP="00F25FCA">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10110</w:t>
            </w:r>
          </w:p>
        </w:tc>
      </w:tr>
      <w:tr w:rsidR="006423D9" w:rsidRPr="00A52EF3" w:rsidTr="006423D9">
        <w:trPr>
          <w:trHeight w:val="568"/>
        </w:trPr>
        <w:tc>
          <w:tcPr>
            <w:tcW w:w="0" w:type="auto"/>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wody w gospodarstwach domowych ogółem na 1 mieszkańca [m</w:t>
            </w:r>
            <w:r w:rsidRPr="00A52EF3">
              <w:rPr>
                <w:rFonts w:ascii="Times New Roman" w:hAnsi="Times New Roman" w:cs="Times New Roman"/>
                <w:b/>
                <w:sz w:val="24"/>
                <w:szCs w:val="24"/>
                <w:vertAlign w:val="superscript"/>
              </w:rPr>
              <w:t>3</w:t>
            </w:r>
            <w:r w:rsidRPr="00A52EF3">
              <w:rPr>
                <w:rFonts w:ascii="Times New Roman" w:hAnsi="Times New Roman" w:cs="Times New Roman"/>
                <w:b/>
                <w:sz w:val="24"/>
                <w:szCs w:val="24"/>
              </w:rPr>
              <w:t>]</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18,2</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18,4</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18,6</w:t>
            </w:r>
          </w:p>
        </w:tc>
        <w:tc>
          <w:tcPr>
            <w:tcW w:w="0" w:type="auto"/>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20,1</w:t>
            </w:r>
          </w:p>
        </w:tc>
        <w:tc>
          <w:tcPr>
            <w:tcW w:w="0" w:type="auto"/>
            <w:vAlign w:val="center"/>
          </w:tcPr>
          <w:p w:rsidR="006423D9" w:rsidRPr="00A52EF3" w:rsidRDefault="006423D9" w:rsidP="00DB5B31">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19,5</w:t>
            </w:r>
          </w:p>
        </w:tc>
      </w:tr>
    </w:tbl>
    <w:p w:rsidR="00BD7A3A" w:rsidRPr="00A52EF3" w:rsidRDefault="00DB5B31" w:rsidP="00DB5B31">
      <w:pPr>
        <w:pStyle w:val="Legenda"/>
        <w:rPr>
          <w:rFonts w:ascii="Times New Roman" w:eastAsia="Calibri" w:hAnsi="Times New Roman" w:cs="Times New Roman"/>
          <w:color w:val="auto"/>
          <w:sz w:val="24"/>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6</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Charakterystyka sieci wodociągowej (dane: BDL GUS)</w:t>
      </w:r>
    </w:p>
    <w:p w:rsidR="000F491C" w:rsidRPr="00A52EF3" w:rsidRDefault="000F491C" w:rsidP="00F25FCA">
      <w:pPr>
        <w:spacing w:after="0" w:line="360" w:lineRule="auto"/>
        <w:jc w:val="both"/>
        <w:rPr>
          <w:rFonts w:ascii="Times New Roman" w:eastAsia="Calibri" w:hAnsi="Times New Roman" w:cs="Times New Roman"/>
          <w:b/>
          <w:sz w:val="24"/>
        </w:rPr>
      </w:pPr>
    </w:p>
    <w:p w:rsidR="00BD7A3A" w:rsidRPr="00A52EF3" w:rsidRDefault="00BD7A3A" w:rsidP="00545ED4">
      <w:pPr>
        <w:pStyle w:val="Akapitzlist"/>
        <w:numPr>
          <w:ilvl w:val="1"/>
          <w:numId w:val="86"/>
        </w:numPr>
        <w:spacing w:after="0" w:line="360" w:lineRule="auto"/>
        <w:jc w:val="both"/>
        <w:rPr>
          <w:rFonts w:ascii="Times New Roman" w:eastAsia="Calibri" w:hAnsi="Times New Roman" w:cs="Times New Roman"/>
          <w:b/>
          <w:sz w:val="24"/>
        </w:rPr>
      </w:pPr>
      <w:r w:rsidRPr="00A52EF3">
        <w:rPr>
          <w:rFonts w:ascii="Times New Roman" w:eastAsia="Calibri" w:hAnsi="Times New Roman" w:cs="Times New Roman"/>
          <w:b/>
          <w:sz w:val="24"/>
        </w:rPr>
        <w:t>Gospodarka ściekowa</w:t>
      </w:r>
    </w:p>
    <w:p w:rsidR="006423D9"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Na terenie gminy Brody funkcjonują dwie oczyszczalnie ścieków, które obsługiwane są przez Zakład Gospodarki Komunalnej w Brodach. Znajdują się one w miejscowościach Krynki i Styków. Są to oczyszczalnie mechaniczno – biologiczne typu Dipol. Technologia dipol pozwala na wysokoefektywne usuwanie zanieczyszczeń biogennych i organicznych.</w:t>
      </w:r>
      <w:r w:rsidR="006423D9" w:rsidRPr="00A52EF3">
        <w:rPr>
          <w:rFonts w:ascii="Times New Roman" w:eastAsia="Calibri" w:hAnsi="Times New Roman" w:cs="Times New Roman"/>
          <w:sz w:val="24"/>
        </w:rPr>
        <w:t xml:space="preserve"> </w:t>
      </w:r>
      <w:r w:rsidRPr="00A52EF3">
        <w:rPr>
          <w:rFonts w:ascii="Times New Roman" w:eastAsia="Calibri" w:hAnsi="Times New Roman" w:cs="Times New Roman"/>
          <w:sz w:val="24"/>
        </w:rPr>
        <w:t>Łączna wielkość obu oczyszczalni wynosi 975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/dobę. Do oczyszczalni w Krynkach trafiają ścieki z miejscowości: Brody, Krynki, Młynek, Rudnik, natomiast do oczyszczalnie ścieków w Stykowie trafiają ścieki z: Dziurowa, Stykowa, Kuczo</w:t>
      </w:r>
      <w:r w:rsidR="006423D9" w:rsidRPr="00A52EF3">
        <w:rPr>
          <w:rFonts w:ascii="Times New Roman" w:eastAsia="Calibri" w:hAnsi="Times New Roman" w:cs="Times New Roman"/>
          <w:sz w:val="24"/>
        </w:rPr>
        <w:t xml:space="preserve">wa, Adamowa, Jabłonny i Rudy. </w:t>
      </w:r>
    </w:p>
    <w:p w:rsidR="00BD7A3A" w:rsidRPr="00A52EF3" w:rsidRDefault="00BD7A3A"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Większość gospodarstw domowych w gminie Brody posiada wewnętrzną instalację kanalizacyjną, która odprowadza ścieki do zbiorników – szamb. Na obszarze gminy nie ma zorganizowanych systemów odprowadzania wód opadowych.</w:t>
      </w:r>
    </w:p>
    <w:p w:rsidR="00AE756A" w:rsidRPr="00A52EF3" w:rsidRDefault="00AE756A" w:rsidP="00F25FCA">
      <w:pPr>
        <w:spacing w:after="0" w:line="360" w:lineRule="auto"/>
        <w:ind w:firstLine="708"/>
        <w:jc w:val="both"/>
        <w:rPr>
          <w:rFonts w:ascii="Times New Roman" w:eastAsia="Calibri" w:hAnsi="Times New Roman" w:cs="Times New Roman"/>
          <w:sz w:val="24"/>
        </w:rPr>
      </w:pPr>
    </w:p>
    <w:p w:rsidR="00AE756A" w:rsidRPr="00A52EF3" w:rsidRDefault="00AE756A" w:rsidP="00F25FCA">
      <w:pPr>
        <w:spacing w:after="0" w:line="360" w:lineRule="auto"/>
        <w:ind w:firstLine="708"/>
        <w:jc w:val="both"/>
        <w:rPr>
          <w:rFonts w:ascii="Times New Roman" w:eastAsia="Calibri" w:hAnsi="Times New Roman" w:cs="Times New Roman"/>
          <w:sz w:val="24"/>
        </w:rPr>
      </w:pPr>
    </w:p>
    <w:p w:rsidR="00AE756A" w:rsidRPr="00A52EF3" w:rsidRDefault="00AE756A" w:rsidP="00F25FCA">
      <w:pPr>
        <w:spacing w:after="0" w:line="360" w:lineRule="auto"/>
        <w:ind w:firstLine="708"/>
        <w:jc w:val="both"/>
        <w:rPr>
          <w:rFonts w:ascii="Times New Roman" w:eastAsia="Calibri" w:hAnsi="Times New Roman" w:cs="Times New Roman"/>
          <w:sz w:val="24"/>
        </w:rPr>
      </w:pPr>
    </w:p>
    <w:p w:rsidR="006423D9" w:rsidRPr="00A52EF3" w:rsidRDefault="006423D9" w:rsidP="00F25FCA">
      <w:pPr>
        <w:spacing w:after="0" w:line="360" w:lineRule="auto"/>
        <w:ind w:firstLine="708"/>
        <w:jc w:val="both"/>
        <w:rPr>
          <w:rFonts w:ascii="Times New Roman" w:eastAsia="Calibri" w:hAnsi="Times New Roman" w:cs="Times New Roman"/>
          <w:sz w:val="24"/>
        </w:rPr>
      </w:pPr>
    </w:p>
    <w:tbl>
      <w:tblPr>
        <w:tblStyle w:val="Tabela-Siatka"/>
        <w:tblW w:w="5000" w:type="pct"/>
        <w:tblLook w:val="04A0" w:firstRow="1" w:lastRow="0" w:firstColumn="1" w:lastColumn="0" w:noHBand="0" w:noVBand="1"/>
      </w:tblPr>
      <w:tblGrid>
        <w:gridCol w:w="5526"/>
        <w:gridCol w:w="752"/>
        <w:gridCol w:w="752"/>
        <w:gridCol w:w="752"/>
        <w:gridCol w:w="752"/>
        <w:gridCol w:w="754"/>
      </w:tblGrid>
      <w:tr w:rsidR="00CC547F" w:rsidRPr="00A52EF3" w:rsidTr="00590A74">
        <w:trPr>
          <w:trHeight w:val="1169"/>
        </w:trPr>
        <w:tc>
          <w:tcPr>
            <w:tcW w:w="5000" w:type="pct"/>
            <w:gridSpan w:val="6"/>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Charakterystyka sieci kanalizacyjnej w Gminie Brody w latach 2010-2014</w:t>
            </w:r>
            <w:r w:rsidRPr="00A52EF3">
              <w:rPr>
                <w:rFonts w:ascii="Times New Roman" w:hAnsi="Times New Roman" w:cs="Times New Roman"/>
                <w:b/>
                <w:sz w:val="24"/>
                <w:szCs w:val="24"/>
              </w:rPr>
              <w:br/>
            </w:r>
            <w:r w:rsidRPr="00A52EF3">
              <w:rPr>
                <w:rFonts w:ascii="Times New Roman" w:hAnsi="Times New Roman" w:cs="Times New Roman"/>
                <w:sz w:val="24"/>
                <w:szCs w:val="24"/>
              </w:rPr>
              <w:t>(stan na 31.12. każdego roku)</w:t>
            </w:r>
          </w:p>
        </w:tc>
      </w:tr>
      <w:tr w:rsidR="00CC547F" w:rsidRPr="00A52EF3" w:rsidTr="00590A74">
        <w:trPr>
          <w:trHeight w:val="559"/>
        </w:trPr>
        <w:tc>
          <w:tcPr>
            <w:tcW w:w="2974" w:type="pct"/>
            <w:vAlign w:val="center"/>
          </w:tcPr>
          <w:p w:rsidR="006423D9" w:rsidRPr="00A52EF3" w:rsidRDefault="006423D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Rok</w:t>
            </w:r>
          </w:p>
        </w:tc>
        <w:tc>
          <w:tcPr>
            <w:tcW w:w="405" w:type="pct"/>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2010</w:t>
            </w:r>
          </w:p>
        </w:tc>
        <w:tc>
          <w:tcPr>
            <w:tcW w:w="405" w:type="pct"/>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2011</w:t>
            </w:r>
          </w:p>
        </w:tc>
        <w:tc>
          <w:tcPr>
            <w:tcW w:w="405" w:type="pct"/>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2012</w:t>
            </w:r>
          </w:p>
        </w:tc>
        <w:tc>
          <w:tcPr>
            <w:tcW w:w="405" w:type="pct"/>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2013</w:t>
            </w:r>
          </w:p>
        </w:tc>
        <w:tc>
          <w:tcPr>
            <w:tcW w:w="405" w:type="pct"/>
            <w:vAlign w:val="center"/>
          </w:tcPr>
          <w:p w:rsidR="006423D9" w:rsidRPr="00A52EF3" w:rsidRDefault="006423D9" w:rsidP="00F25FCA">
            <w:pPr>
              <w:spacing w:line="360" w:lineRule="auto"/>
              <w:jc w:val="center"/>
              <w:rPr>
                <w:rFonts w:ascii="Times New Roman" w:hAnsi="Times New Roman" w:cs="Times New Roman"/>
                <w:b/>
                <w:bCs/>
                <w:sz w:val="24"/>
                <w:szCs w:val="24"/>
              </w:rPr>
            </w:pPr>
            <w:r w:rsidRPr="00A52EF3">
              <w:rPr>
                <w:rFonts w:ascii="Times New Roman" w:hAnsi="Times New Roman" w:cs="Times New Roman"/>
                <w:b/>
                <w:bCs/>
                <w:sz w:val="24"/>
                <w:szCs w:val="24"/>
              </w:rPr>
              <w:t>2014</w:t>
            </w:r>
          </w:p>
        </w:tc>
      </w:tr>
      <w:tr w:rsidR="00CC547F" w:rsidRPr="00A52EF3" w:rsidTr="00590A74">
        <w:trPr>
          <w:trHeight w:val="600"/>
        </w:trPr>
        <w:tc>
          <w:tcPr>
            <w:tcW w:w="2974" w:type="pct"/>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Długość sieci kanalizacyjnej [km]</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78,4</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97,0</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98,3</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98,3</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98,9</w:t>
            </w:r>
          </w:p>
        </w:tc>
      </w:tr>
      <w:tr w:rsidR="00CC547F" w:rsidRPr="00A52EF3" w:rsidTr="00590A74">
        <w:trPr>
          <w:trHeight w:val="551"/>
        </w:trPr>
        <w:tc>
          <w:tcPr>
            <w:tcW w:w="2974" w:type="pct"/>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Przyłącza prowadzące do budynków mieszkalnych </w:t>
            </w:r>
            <w:r w:rsidRPr="00A52EF3">
              <w:rPr>
                <w:rFonts w:ascii="Times New Roman" w:hAnsi="Times New Roman" w:cs="Times New Roman"/>
                <w:sz w:val="24"/>
                <w:szCs w:val="24"/>
              </w:rPr>
              <w:br/>
              <w:t>i zbiorowego zamieszkania [szt.]</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1618</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1755</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1926</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1965</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2005</w:t>
            </w:r>
          </w:p>
        </w:tc>
      </w:tr>
      <w:tr w:rsidR="00CC547F" w:rsidRPr="00A52EF3" w:rsidTr="00590A74">
        <w:trPr>
          <w:trHeight w:val="588"/>
        </w:trPr>
        <w:tc>
          <w:tcPr>
            <w:tcW w:w="2974" w:type="pct"/>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Ścieki odprowadzone [dam3]</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132</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135</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154</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163</w:t>
            </w:r>
          </w:p>
        </w:tc>
        <w:tc>
          <w:tcPr>
            <w:tcW w:w="405" w:type="pct"/>
            <w:vAlign w:val="center"/>
          </w:tcPr>
          <w:p w:rsidR="006423D9" w:rsidRPr="00A52EF3" w:rsidRDefault="002E1E8E" w:rsidP="00F25FCA">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171</w:t>
            </w:r>
          </w:p>
        </w:tc>
      </w:tr>
      <w:tr w:rsidR="006423D9" w:rsidRPr="00A52EF3" w:rsidTr="00590A74">
        <w:trPr>
          <w:trHeight w:val="588"/>
        </w:trPr>
        <w:tc>
          <w:tcPr>
            <w:tcW w:w="2974" w:type="pct"/>
            <w:vAlign w:val="center"/>
          </w:tcPr>
          <w:p w:rsidR="006423D9" w:rsidRPr="00A52EF3" w:rsidRDefault="006423D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Ludność korzystająca z sieci kanalizacyjnej</w:t>
            </w:r>
            <w:r w:rsidR="002E1E8E" w:rsidRPr="00A52EF3">
              <w:rPr>
                <w:rFonts w:ascii="Times New Roman" w:hAnsi="Times New Roman" w:cs="Times New Roman"/>
                <w:sz w:val="24"/>
                <w:szCs w:val="24"/>
              </w:rPr>
              <w:t xml:space="preserve"> [osoba]</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7827</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7942</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8130</w:t>
            </w:r>
          </w:p>
        </w:tc>
        <w:tc>
          <w:tcPr>
            <w:tcW w:w="405" w:type="pct"/>
            <w:vAlign w:val="center"/>
          </w:tcPr>
          <w:p w:rsidR="006423D9" w:rsidRPr="00A52EF3" w:rsidRDefault="002E1E8E"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8183</w:t>
            </w:r>
          </w:p>
        </w:tc>
        <w:tc>
          <w:tcPr>
            <w:tcW w:w="405" w:type="pct"/>
            <w:vAlign w:val="center"/>
          </w:tcPr>
          <w:p w:rsidR="006423D9" w:rsidRPr="00A52EF3" w:rsidRDefault="002E1E8E" w:rsidP="00DB5B31">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8187</w:t>
            </w:r>
          </w:p>
        </w:tc>
      </w:tr>
    </w:tbl>
    <w:p w:rsidR="008F14EE" w:rsidRPr="00A52EF3" w:rsidRDefault="00DB5B31" w:rsidP="00AE756A">
      <w:pPr>
        <w:pStyle w:val="Legenda"/>
        <w:rPr>
          <w:rFonts w:ascii="Times New Roman"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7</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Charakterystyka sieci kanalizacyjnej (dane: BDL GUS)</w:t>
      </w:r>
    </w:p>
    <w:p w:rsidR="00AE756A" w:rsidRPr="00A52EF3" w:rsidRDefault="00AE756A" w:rsidP="00AE756A">
      <w:pPr>
        <w:rPr>
          <w:rFonts w:ascii="Times New Roman" w:hAnsi="Times New Roman" w:cs="Times New Roman"/>
        </w:rPr>
      </w:pPr>
    </w:p>
    <w:p w:rsidR="00A221DE" w:rsidRPr="00A52EF3" w:rsidRDefault="00A221DE" w:rsidP="00545ED4">
      <w:pPr>
        <w:pStyle w:val="Nagwek1"/>
        <w:numPr>
          <w:ilvl w:val="0"/>
          <w:numId w:val="86"/>
        </w:numPr>
        <w:spacing w:line="360" w:lineRule="auto"/>
        <w:rPr>
          <w:rFonts w:ascii="Times New Roman" w:eastAsia="Times New Roman" w:hAnsi="Times New Roman" w:cs="Times New Roman"/>
          <w:color w:val="auto"/>
        </w:rPr>
      </w:pPr>
      <w:bookmarkStart w:id="20" w:name="_Toc470763995"/>
      <w:r w:rsidRPr="00A52EF3">
        <w:rPr>
          <w:rFonts w:ascii="Times New Roman" w:eastAsia="Times New Roman" w:hAnsi="Times New Roman" w:cs="Times New Roman"/>
          <w:color w:val="auto"/>
        </w:rPr>
        <w:t>Charakterystyka nośników energetycznych na terenie Gminy</w:t>
      </w:r>
      <w:bookmarkEnd w:id="20"/>
    </w:p>
    <w:p w:rsidR="00A221DE" w:rsidRPr="00A52EF3" w:rsidRDefault="00A221DE" w:rsidP="00545ED4">
      <w:pPr>
        <w:pStyle w:val="Nagwek2"/>
        <w:numPr>
          <w:ilvl w:val="1"/>
          <w:numId w:val="86"/>
        </w:numPr>
        <w:spacing w:after="240" w:line="360" w:lineRule="auto"/>
        <w:rPr>
          <w:rFonts w:ascii="Times New Roman" w:eastAsia="Times New Roman" w:hAnsi="Times New Roman" w:cs="Times New Roman"/>
          <w:color w:val="auto"/>
        </w:rPr>
      </w:pPr>
      <w:bookmarkStart w:id="21" w:name="_Toc470763996"/>
      <w:r w:rsidRPr="00A52EF3">
        <w:rPr>
          <w:rFonts w:ascii="Times New Roman" w:eastAsia="Times New Roman" w:hAnsi="Times New Roman" w:cs="Times New Roman"/>
          <w:color w:val="auto"/>
        </w:rPr>
        <w:t>System cieplny</w:t>
      </w:r>
      <w:bookmarkEnd w:id="21"/>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Gmina Brody nie posiada centralnego systemu zaopatrzenia w ciepło. Budynki jednorodzinne korzystają z indywidualnych źródeł ciepła w</w:t>
      </w:r>
      <w:r w:rsidR="00A47F57" w:rsidRPr="00A52EF3">
        <w:rPr>
          <w:rFonts w:ascii="Times New Roman" w:eastAsia="Calibri" w:hAnsi="Times New Roman" w:cs="Times New Roman"/>
          <w:sz w:val="24"/>
        </w:rPr>
        <w:t>y</w:t>
      </w:r>
      <w:r w:rsidRPr="00A52EF3">
        <w:rPr>
          <w:rFonts w:ascii="Times New Roman" w:eastAsia="Calibri" w:hAnsi="Times New Roman" w:cs="Times New Roman"/>
          <w:sz w:val="24"/>
        </w:rPr>
        <w:t xml:space="preserve">budowanych u poszczególnych odbiorców. Głównym paliwem stosowanym w sektorze prywatnym jest </w:t>
      </w:r>
      <w:r w:rsidR="00944E61" w:rsidRPr="00A52EF3">
        <w:rPr>
          <w:rFonts w:ascii="Times New Roman" w:eastAsia="Calibri" w:hAnsi="Times New Roman" w:cs="Times New Roman"/>
          <w:sz w:val="24"/>
        </w:rPr>
        <w:t>paliwo stałe.</w:t>
      </w:r>
      <w:r w:rsidRPr="00A52EF3">
        <w:rPr>
          <w:rFonts w:ascii="Times New Roman" w:eastAsia="Calibri" w:hAnsi="Times New Roman" w:cs="Times New Roman"/>
          <w:sz w:val="24"/>
        </w:rPr>
        <w:t xml:space="preserve"> Domowe piece i lokalne systemy grzewcze w większości nie są zaopatrzone w urządzenia ochrony powietrza, co powoduje emisję niebezpiecznych dla człowieka i środowiska substancji. W ostatnim czasie wśród mieszkańców Gminy Brody obserwowany jest wzrost zainteresowania ogrzewaniem gazowym.</w:t>
      </w:r>
    </w:p>
    <w:p w:rsidR="00A221DE"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Budynki </w:t>
      </w:r>
      <w:r w:rsidR="00A221DE" w:rsidRPr="00A52EF3">
        <w:rPr>
          <w:rFonts w:ascii="Times New Roman" w:eastAsia="Calibri" w:hAnsi="Times New Roman" w:cs="Times New Roman"/>
          <w:sz w:val="24"/>
        </w:rPr>
        <w:t>użyteczności publicznej na obszarze gminy posiadają ogrzewanie gazowe, przeprowadzono także ich termomodernizację. Działania te spowodowane były chęcią zmniejszenia emisji szkodliwych zanieczyszczeń oraz redukcji opłat ekologicznych, ponoszonych przez przedsiębiorstwa w związku z korzystaniem ze środowiska.</w:t>
      </w:r>
    </w:p>
    <w:p w:rsidR="00A221DE" w:rsidRPr="00A52EF3" w:rsidRDefault="00A221DE" w:rsidP="00545ED4">
      <w:pPr>
        <w:pStyle w:val="Nagwek2"/>
        <w:numPr>
          <w:ilvl w:val="1"/>
          <w:numId w:val="86"/>
        </w:numPr>
        <w:spacing w:after="240" w:line="360" w:lineRule="auto"/>
        <w:rPr>
          <w:rFonts w:ascii="Times New Roman" w:eastAsia="Times New Roman" w:hAnsi="Times New Roman" w:cs="Times New Roman"/>
          <w:color w:val="auto"/>
        </w:rPr>
      </w:pPr>
      <w:bookmarkStart w:id="22" w:name="_Toc470763997"/>
      <w:r w:rsidRPr="00A52EF3">
        <w:rPr>
          <w:rFonts w:ascii="Times New Roman" w:eastAsia="Times New Roman" w:hAnsi="Times New Roman" w:cs="Times New Roman"/>
          <w:color w:val="auto"/>
        </w:rPr>
        <w:lastRenderedPageBreak/>
        <w:t>System gazowniczy</w:t>
      </w:r>
      <w:bookmarkEnd w:id="22"/>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Gmina Brody jest zgazyfikowana w około 97%. Posiada ona około 1</w:t>
      </w:r>
      <w:r w:rsidR="00AB553E" w:rsidRPr="00A52EF3">
        <w:rPr>
          <w:rFonts w:ascii="Times New Roman" w:eastAsia="Calibri" w:hAnsi="Times New Roman" w:cs="Times New Roman"/>
          <w:sz w:val="24"/>
        </w:rPr>
        <w:t>20</w:t>
      </w:r>
      <w:r w:rsidRPr="00A52EF3">
        <w:rPr>
          <w:rFonts w:ascii="Times New Roman" w:eastAsia="Calibri" w:hAnsi="Times New Roman" w:cs="Times New Roman"/>
          <w:sz w:val="24"/>
        </w:rPr>
        <w:t xml:space="preserve"> km sieci gazowej, a liczba odbiorców wynosi </w:t>
      </w:r>
      <w:r w:rsidR="00AB553E" w:rsidRPr="00A52EF3">
        <w:rPr>
          <w:rFonts w:ascii="Times New Roman" w:eastAsia="Calibri" w:hAnsi="Times New Roman" w:cs="Times New Roman"/>
          <w:sz w:val="24"/>
        </w:rPr>
        <w:t>ponad</w:t>
      </w:r>
      <w:r w:rsidRPr="00A52EF3">
        <w:rPr>
          <w:rFonts w:ascii="Times New Roman" w:eastAsia="Calibri" w:hAnsi="Times New Roman" w:cs="Times New Roman"/>
          <w:sz w:val="24"/>
        </w:rPr>
        <w:t xml:space="preserve"> 1500</w:t>
      </w:r>
      <w:r w:rsidR="00AB553E" w:rsidRPr="00A52EF3">
        <w:rPr>
          <w:rFonts w:ascii="Times New Roman" w:eastAsia="Calibri" w:hAnsi="Times New Roman" w:cs="Times New Roman"/>
          <w:sz w:val="24"/>
        </w:rPr>
        <w:t xml:space="preserve"> gospodarstw</w:t>
      </w:r>
      <w:r w:rsidRPr="00A52EF3">
        <w:rPr>
          <w:rFonts w:ascii="Times New Roman" w:eastAsia="Calibri" w:hAnsi="Times New Roman" w:cs="Times New Roman"/>
          <w:sz w:val="24"/>
        </w:rPr>
        <w:t xml:space="preserve">. Z sieci gazowej korzystają głównie budynki użyteczności publicznej, natomiast liczba gospodarstw domowych podłączających się pod sieć gazową jest niewielka. </w:t>
      </w:r>
    </w:p>
    <w:p w:rsidR="00F57324" w:rsidRPr="00A52EF3" w:rsidRDefault="00A221DE" w:rsidP="000A22A7">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Do miejscowości posiadających sieć gazową zalicza się: Brody, Krynki, Lubienia, Młynek, Przymiarki, Budy Brodzkie, Staw Kunowski, Rudnik, Adamów, Styków, Dziurów, Ruda, Jabłonna, Kuczów, Lipie. </w:t>
      </w:r>
    </w:p>
    <w:p w:rsidR="008F14EE" w:rsidRPr="00A52EF3" w:rsidRDefault="008F14EE" w:rsidP="000A22A7">
      <w:pPr>
        <w:spacing w:after="0" w:line="360" w:lineRule="auto"/>
        <w:ind w:firstLine="708"/>
        <w:jc w:val="both"/>
        <w:rPr>
          <w:rFonts w:ascii="Times New Roman" w:eastAsia="Calibri" w:hAnsi="Times New Roman" w:cs="Times New Roman"/>
          <w:sz w:val="24"/>
        </w:rPr>
      </w:pPr>
    </w:p>
    <w:tbl>
      <w:tblPr>
        <w:tblW w:w="9288" w:type="dxa"/>
        <w:jc w:val="center"/>
        <w:tblBorders>
          <w:top w:val="single" w:sz="4" w:space="0" w:color="00000A"/>
          <w:left w:val="single" w:sz="4" w:space="0" w:color="00000A"/>
          <w:bottom w:val="single" w:sz="18" w:space="0" w:color="00000A"/>
          <w:right w:val="single" w:sz="4" w:space="0" w:color="00000A"/>
          <w:insideH w:val="single" w:sz="18" w:space="0" w:color="00000A"/>
          <w:insideV w:val="single" w:sz="4" w:space="0" w:color="00000A"/>
        </w:tblBorders>
        <w:tblCellMar>
          <w:left w:w="98" w:type="dxa"/>
        </w:tblCellMar>
        <w:tblLook w:val="0000" w:firstRow="0" w:lastRow="0" w:firstColumn="0" w:lastColumn="0" w:noHBand="0" w:noVBand="0"/>
      </w:tblPr>
      <w:tblGrid>
        <w:gridCol w:w="3106"/>
        <w:gridCol w:w="1247"/>
        <w:gridCol w:w="1024"/>
        <w:gridCol w:w="1003"/>
        <w:gridCol w:w="988"/>
        <w:gridCol w:w="983"/>
        <w:gridCol w:w="937"/>
      </w:tblGrid>
      <w:tr w:rsidR="0095534C" w:rsidRPr="00A52EF3" w:rsidTr="00C819EB">
        <w:trPr>
          <w:jc w:val="center"/>
        </w:trPr>
        <w:tc>
          <w:tcPr>
            <w:tcW w:w="9288" w:type="dxa"/>
            <w:gridSpan w:val="7"/>
            <w:tcBorders>
              <w:top w:val="single" w:sz="4" w:space="0" w:color="00000A"/>
              <w:left w:val="single" w:sz="4" w:space="0" w:color="00000A"/>
              <w:bottom w:val="single" w:sz="18" w:space="0" w:color="00000A"/>
              <w:right w:val="single" w:sz="4" w:space="0" w:color="00000A"/>
            </w:tcBorders>
            <w:shd w:val="clear" w:color="auto" w:fill="FFFFFF"/>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Charakterystyka sieci gazowej</w:t>
            </w:r>
          </w:p>
        </w:tc>
      </w:tr>
      <w:tr w:rsidR="00CC547F" w:rsidRPr="00A52EF3" w:rsidTr="004D5051">
        <w:trPr>
          <w:jc w:val="center"/>
        </w:trPr>
        <w:tc>
          <w:tcPr>
            <w:tcW w:w="3131"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p>
        </w:tc>
        <w:tc>
          <w:tcPr>
            <w:tcW w:w="1217"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Jednostka</w:t>
            </w:r>
          </w:p>
        </w:tc>
        <w:tc>
          <w:tcPr>
            <w:tcW w:w="1026"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2010</w:t>
            </w:r>
          </w:p>
        </w:tc>
        <w:tc>
          <w:tcPr>
            <w:tcW w:w="1004"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2011</w:t>
            </w:r>
          </w:p>
        </w:tc>
        <w:tc>
          <w:tcPr>
            <w:tcW w:w="989"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2012</w:t>
            </w:r>
          </w:p>
        </w:tc>
        <w:tc>
          <w:tcPr>
            <w:tcW w:w="984" w:type="dxa"/>
            <w:tcBorders>
              <w:top w:val="single" w:sz="18"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2013</w:t>
            </w:r>
          </w:p>
        </w:tc>
        <w:tc>
          <w:tcPr>
            <w:tcW w:w="937" w:type="dxa"/>
            <w:tcBorders>
              <w:top w:val="single" w:sz="18" w:space="0" w:color="00000A"/>
              <w:left w:val="single" w:sz="4" w:space="0" w:color="00000A"/>
              <w:bottom w:val="single" w:sz="4" w:space="0" w:color="00000A"/>
              <w:right w:val="single" w:sz="4" w:space="0" w:color="00000A"/>
            </w:tcBorders>
            <w:vAlign w:val="center"/>
          </w:tcPr>
          <w:p w:rsidR="0095534C" w:rsidRPr="00A52EF3" w:rsidRDefault="0095534C"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2014</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długość czynnej sieci ogółem w m</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m</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119943</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119943</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119943</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120023</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120023</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długość czynnej sieci przesyłowej w m</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m</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26297</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26297</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26297</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26297</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26297</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długość czynnej sieci rozdzielczej w m</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m</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93646</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93646</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93646</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C819EB"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93726</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C819EB" w:rsidP="00F25FCA">
            <w:pPr>
              <w:spacing w:after="0" w:line="360" w:lineRule="auto"/>
              <w:jc w:val="center"/>
              <w:rPr>
                <w:rFonts w:ascii="Times New Roman" w:hAnsi="Times New Roman" w:cs="Times New Roman"/>
                <w:b/>
                <w:sz w:val="24"/>
                <w:szCs w:val="24"/>
              </w:rPr>
            </w:pPr>
            <w:r w:rsidRPr="00A52EF3">
              <w:rPr>
                <w:rFonts w:ascii="Times New Roman" w:hAnsi="Times New Roman" w:cs="Times New Roman"/>
                <w:sz w:val="24"/>
                <w:szCs w:val="24"/>
              </w:rPr>
              <w:t>93726</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czynne przyłącza do budynków mieszkalnych i niemieszkalnych</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szt.</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1811</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1817</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1822</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keepNext/>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1847</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F25FCA">
            <w:pPr>
              <w:keepNext/>
              <w:spacing w:after="0" w:line="360" w:lineRule="auto"/>
              <w:jc w:val="center"/>
              <w:rPr>
                <w:rFonts w:ascii="Times New Roman" w:hAnsi="Times New Roman" w:cs="Times New Roman"/>
                <w:sz w:val="24"/>
                <w:szCs w:val="24"/>
              </w:rPr>
            </w:pPr>
            <w:r w:rsidRPr="00A52EF3">
              <w:rPr>
                <w:rFonts w:ascii="Times New Roman" w:hAnsi="Times New Roman" w:cs="Times New Roman"/>
                <w:sz w:val="24"/>
                <w:szCs w:val="24"/>
              </w:rPr>
              <w:t>1865</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odbiorcy gazu</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Gosp</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1477</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1506</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1510</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1525</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1547</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odbiorcy gazu ogrzewający mieszkania gazem</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Gosp</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115</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378</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388</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402</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424</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eastAsia="Times New Roman" w:hAnsi="Times New Roman" w:cs="Times New Roman"/>
                <w:sz w:val="24"/>
                <w:szCs w:val="24"/>
              </w:rPr>
              <w:t>zużycie gazu w tys. m</w:t>
            </w:r>
            <w:r w:rsidRPr="00A52EF3">
              <w:rPr>
                <w:rFonts w:ascii="Times New Roman" w:eastAsia="Times New Roman" w:hAnsi="Times New Roman" w:cs="Times New Roman"/>
                <w:sz w:val="24"/>
                <w:szCs w:val="24"/>
                <w:vertAlign w:val="superscript"/>
              </w:rPr>
              <w:t>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eastAsia="Times New Roman" w:hAnsi="Times New Roman" w:cs="Times New Roman"/>
                <w:sz w:val="24"/>
                <w:szCs w:val="24"/>
              </w:rPr>
              <w:t>tys.m</w:t>
            </w:r>
            <w:r w:rsidRPr="00A52EF3">
              <w:rPr>
                <w:rFonts w:ascii="Times New Roman" w:eastAsia="Times New Roman" w:hAnsi="Times New Roman" w:cs="Times New Roman"/>
                <w:sz w:val="24"/>
                <w:szCs w:val="24"/>
                <w:vertAlign w:val="superscript"/>
              </w:rPr>
              <w:t>3</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665,8</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662,2</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645,8</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665,4</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614,3</w:t>
            </w:r>
          </w:p>
        </w:tc>
      </w:tr>
      <w:tr w:rsidR="00CC547F"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eastAsia="Times New Roman" w:hAnsi="Times New Roman" w:cs="Times New Roman"/>
                <w:sz w:val="24"/>
                <w:szCs w:val="24"/>
              </w:rPr>
              <w:t>zużycie gazu na ogrzewanie mieszkań w tys. m</w:t>
            </w:r>
            <w:r w:rsidRPr="00A52EF3">
              <w:rPr>
                <w:rFonts w:ascii="Times New Roman" w:eastAsia="Times New Roman" w:hAnsi="Times New Roman" w:cs="Times New Roman"/>
                <w:sz w:val="24"/>
                <w:szCs w:val="24"/>
                <w:vertAlign w:val="superscript"/>
              </w:rPr>
              <w:t>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hAnsi="Times New Roman" w:cs="Times New Roman"/>
                <w:sz w:val="24"/>
                <w:szCs w:val="24"/>
              </w:rPr>
            </w:pPr>
            <w:r w:rsidRPr="00A52EF3">
              <w:rPr>
                <w:rFonts w:ascii="Times New Roman" w:eastAsia="Times New Roman" w:hAnsi="Times New Roman" w:cs="Times New Roman"/>
                <w:sz w:val="24"/>
                <w:szCs w:val="24"/>
              </w:rPr>
              <w:t>tys.m</w:t>
            </w:r>
            <w:r w:rsidRPr="00A52EF3">
              <w:rPr>
                <w:rFonts w:ascii="Times New Roman" w:eastAsia="Times New Roman" w:hAnsi="Times New Roman" w:cs="Times New Roman"/>
                <w:sz w:val="24"/>
                <w:szCs w:val="24"/>
                <w:vertAlign w:val="superscript"/>
              </w:rPr>
              <w:t>3</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250,8</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328,6</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342,9</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371,5</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332,3</w:t>
            </w:r>
          </w:p>
        </w:tc>
      </w:tr>
      <w:tr w:rsidR="00DD1F74" w:rsidRPr="00A52EF3" w:rsidTr="004D5051">
        <w:trPr>
          <w:jc w:val="center"/>
        </w:trPr>
        <w:tc>
          <w:tcPr>
            <w:tcW w:w="3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ludność korzystająca z sieci gazowej</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95534C"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Osoba</w:t>
            </w:r>
          </w:p>
        </w:tc>
        <w:tc>
          <w:tcPr>
            <w:tcW w:w="102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4942</w:t>
            </w:r>
          </w:p>
        </w:tc>
        <w:tc>
          <w:tcPr>
            <w:tcW w:w="100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4940</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5137</w:t>
            </w:r>
          </w:p>
        </w:tc>
        <w:tc>
          <w:tcPr>
            <w:tcW w:w="98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5534C" w:rsidRPr="00A52EF3" w:rsidRDefault="004D5051" w:rsidP="00F25FCA">
            <w:pPr>
              <w:keepNext/>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5155</w:t>
            </w:r>
          </w:p>
        </w:tc>
        <w:tc>
          <w:tcPr>
            <w:tcW w:w="937" w:type="dxa"/>
            <w:tcBorders>
              <w:top w:val="single" w:sz="4" w:space="0" w:color="00000A"/>
              <w:left w:val="single" w:sz="4" w:space="0" w:color="00000A"/>
              <w:bottom w:val="single" w:sz="4" w:space="0" w:color="00000A"/>
              <w:right w:val="single" w:sz="4" w:space="0" w:color="00000A"/>
            </w:tcBorders>
            <w:vAlign w:val="center"/>
          </w:tcPr>
          <w:p w:rsidR="0095534C" w:rsidRPr="00A52EF3" w:rsidRDefault="004D5051" w:rsidP="00DB5B31">
            <w:pPr>
              <w:keepNext/>
              <w:spacing w:after="0" w:line="360" w:lineRule="auto"/>
              <w:jc w:val="center"/>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5198</w:t>
            </w:r>
          </w:p>
        </w:tc>
      </w:tr>
    </w:tbl>
    <w:p w:rsidR="00DB5B31" w:rsidRPr="00A52EF3" w:rsidRDefault="00DB5B31">
      <w:pPr>
        <w:pStyle w:val="Legenda"/>
        <w:rPr>
          <w:rFonts w:ascii="Times New Roman" w:hAnsi="Times New Roman" w:cs="Times New Roman"/>
          <w:color w:val="auto"/>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8</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Charakterystyka sieci gazowej (dane: BDL GUS)</w:t>
      </w:r>
    </w:p>
    <w:p w:rsidR="00DB5B31" w:rsidRPr="00A52EF3" w:rsidRDefault="00DB5B31" w:rsidP="00DB5B31">
      <w:pPr>
        <w:rPr>
          <w:rFonts w:ascii="Times New Roman" w:hAnsi="Times New Roman" w:cs="Times New Roman"/>
        </w:rPr>
      </w:pPr>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 xml:space="preserve">Przez obszar gminy Brody przebiegają trzy gazociągi przesyłowe. Są to gazociągi wysokiego ciśnienia i należą do nich: </w:t>
      </w:r>
    </w:p>
    <w:p w:rsidR="00A221DE" w:rsidRPr="00A52EF3" w:rsidRDefault="00A221DE" w:rsidP="00F25FCA">
      <w:pPr>
        <w:numPr>
          <w:ilvl w:val="0"/>
          <w:numId w:val="32"/>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Gazociąg DN300 Lubienia – Warszawa – wzdłuż drogi nr 9;</w:t>
      </w:r>
    </w:p>
    <w:p w:rsidR="00A221DE" w:rsidRPr="00A52EF3" w:rsidRDefault="00A221DE" w:rsidP="00F25FCA">
      <w:pPr>
        <w:numPr>
          <w:ilvl w:val="0"/>
          <w:numId w:val="31"/>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Gazociąg DN500 Sandomierz – Lubienia – wschodnie tereny gminy;</w:t>
      </w:r>
    </w:p>
    <w:p w:rsidR="00A221DE" w:rsidRPr="00A52EF3" w:rsidRDefault="00A221DE" w:rsidP="00F25FCA">
      <w:pPr>
        <w:numPr>
          <w:ilvl w:val="0"/>
          <w:numId w:val="31"/>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Gazociąg DN200 Lubienia – Łódź (przez Końskie, Piotrków Trybunalski) – wzdłuż drogi krajowej nr 42.</w:t>
      </w:r>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Mieszkańcy gminy Brody są zasilani z syst</w:t>
      </w:r>
      <w:r w:rsidR="00F57324" w:rsidRPr="00A52EF3">
        <w:rPr>
          <w:rFonts w:ascii="Times New Roman" w:eastAsia="Calibri" w:hAnsi="Times New Roman" w:cs="Times New Roman"/>
          <w:sz w:val="24"/>
        </w:rPr>
        <w:t xml:space="preserve">emu gazu przewodowego średniego </w:t>
      </w:r>
      <w:r w:rsidRPr="00A52EF3">
        <w:rPr>
          <w:rFonts w:ascii="Times New Roman" w:eastAsia="Calibri" w:hAnsi="Times New Roman" w:cs="Times New Roman"/>
          <w:sz w:val="24"/>
        </w:rPr>
        <w:t>ciśnienia. We wsi znajdują się trzy stacje redukcyjno – pomiarowe pierwszego stopnia, przez które odbywa się zaopatrzenie w gaz. Są to stacje:</w:t>
      </w:r>
    </w:p>
    <w:p w:rsidR="00A221DE" w:rsidRPr="00A52EF3" w:rsidRDefault="00A221DE" w:rsidP="00F25FCA">
      <w:pPr>
        <w:numPr>
          <w:ilvl w:val="0"/>
          <w:numId w:val="3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Lubienia – SRP I° - 600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w:t>
      </w:r>
    </w:p>
    <w:p w:rsidR="00A221DE" w:rsidRPr="00A52EF3" w:rsidRDefault="00A221DE" w:rsidP="00F25FCA">
      <w:pPr>
        <w:numPr>
          <w:ilvl w:val="0"/>
          <w:numId w:val="3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Ruda - SRP I° - 3500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w:t>
      </w:r>
    </w:p>
    <w:p w:rsidR="00F57324" w:rsidRPr="00A52EF3" w:rsidRDefault="00A221DE" w:rsidP="000A22A7">
      <w:pPr>
        <w:numPr>
          <w:ilvl w:val="0"/>
          <w:numId w:val="33"/>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Lipie - SRP I° - 400 m</w:t>
      </w:r>
      <w:r w:rsidRPr="00A52EF3">
        <w:rPr>
          <w:rFonts w:ascii="Times New Roman" w:eastAsia="Calibri" w:hAnsi="Times New Roman" w:cs="Times New Roman"/>
          <w:sz w:val="24"/>
          <w:vertAlign w:val="superscript"/>
        </w:rPr>
        <w:t>3</w:t>
      </w:r>
      <w:r w:rsidRPr="00A52EF3">
        <w:rPr>
          <w:rFonts w:ascii="Times New Roman" w:eastAsia="Calibri" w:hAnsi="Times New Roman" w:cs="Times New Roman"/>
          <w:sz w:val="24"/>
        </w:rPr>
        <w:t>/h.</w:t>
      </w:r>
    </w:p>
    <w:p w:rsidR="000A22A7" w:rsidRPr="00A52EF3" w:rsidRDefault="000A22A7" w:rsidP="000A22A7">
      <w:pPr>
        <w:spacing w:after="0" w:line="360" w:lineRule="auto"/>
        <w:ind w:left="720"/>
        <w:contextualSpacing/>
        <w:jc w:val="both"/>
        <w:rPr>
          <w:rFonts w:ascii="Times New Roman" w:eastAsia="Calibri" w:hAnsi="Times New Roman" w:cs="Times New Roman"/>
          <w:sz w:val="24"/>
        </w:rPr>
      </w:pPr>
    </w:p>
    <w:p w:rsidR="00A221DE" w:rsidRPr="00A52EF3" w:rsidRDefault="00A221DE" w:rsidP="00545ED4">
      <w:pPr>
        <w:pStyle w:val="Nagwek2"/>
        <w:numPr>
          <w:ilvl w:val="1"/>
          <w:numId w:val="86"/>
        </w:numPr>
        <w:spacing w:after="240" w:line="360" w:lineRule="auto"/>
        <w:rPr>
          <w:rFonts w:ascii="Times New Roman" w:eastAsia="Times New Roman" w:hAnsi="Times New Roman" w:cs="Times New Roman"/>
          <w:color w:val="auto"/>
        </w:rPr>
      </w:pPr>
      <w:bookmarkStart w:id="23" w:name="_Toc470763998"/>
      <w:r w:rsidRPr="00A52EF3">
        <w:rPr>
          <w:rFonts w:ascii="Times New Roman" w:eastAsia="Times New Roman" w:hAnsi="Times New Roman" w:cs="Times New Roman"/>
          <w:color w:val="auto"/>
        </w:rPr>
        <w:t>System elektroenergetyczny</w:t>
      </w:r>
      <w:bookmarkEnd w:id="23"/>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Teren Gminy Brody obsługiwany jest przez Zakład Energetyczny Skarżysko-Kamienna, Rejon Energetyczny Starachowice oraz Zakład Energetyczny Okręgu Radomsko-Kieleckiego – oddział Ostrowiec. Energia elektryczna dostarczana jest do odbiorców poprzez magistralne linie napowietrzne średniego napięcia – SN-15 kV-70, wyprowadzone </w:t>
      </w:r>
      <w:r w:rsidR="00F57324" w:rsidRPr="00A52EF3">
        <w:rPr>
          <w:rFonts w:ascii="Times New Roman" w:eastAsia="Calibri" w:hAnsi="Times New Roman" w:cs="Times New Roman"/>
          <w:sz w:val="24"/>
        </w:rPr>
        <w:br/>
      </w:r>
      <w:r w:rsidRPr="00A52EF3">
        <w:rPr>
          <w:rFonts w:ascii="Times New Roman" w:eastAsia="Calibri" w:hAnsi="Times New Roman" w:cs="Times New Roman"/>
          <w:sz w:val="24"/>
        </w:rPr>
        <w:t xml:space="preserve">z odpowiednich pól 15 kV z głównych punktów zasilania (GZP): </w:t>
      </w:r>
    </w:p>
    <w:p w:rsidR="00A221DE" w:rsidRPr="00A52EF3" w:rsidRDefault="00A221DE" w:rsidP="00F25FCA">
      <w:pPr>
        <w:numPr>
          <w:ilvl w:val="0"/>
          <w:numId w:val="34"/>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GPZ  1 w Starachowicach, </w:t>
      </w:r>
    </w:p>
    <w:p w:rsidR="00A221DE" w:rsidRPr="00A52EF3" w:rsidRDefault="00A221DE" w:rsidP="00F25FCA">
      <w:pPr>
        <w:numPr>
          <w:ilvl w:val="0"/>
          <w:numId w:val="34"/>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GPZ 2 w Starachowicach, </w:t>
      </w:r>
    </w:p>
    <w:p w:rsidR="00A221DE" w:rsidRPr="00A52EF3" w:rsidRDefault="00A221DE" w:rsidP="00F25FCA">
      <w:pPr>
        <w:numPr>
          <w:ilvl w:val="0"/>
          <w:numId w:val="34"/>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GPZ Kunów, </w:t>
      </w:r>
    </w:p>
    <w:p w:rsidR="00A221DE" w:rsidRPr="00A52EF3" w:rsidRDefault="00A221DE" w:rsidP="00F25FCA">
      <w:pPr>
        <w:numPr>
          <w:ilvl w:val="0"/>
          <w:numId w:val="34"/>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GPZ Iłża.</w:t>
      </w:r>
    </w:p>
    <w:p w:rsidR="008F14EE" w:rsidRPr="00A52EF3" w:rsidRDefault="008F14EE" w:rsidP="00F25FCA">
      <w:pPr>
        <w:spacing w:after="0" w:line="360" w:lineRule="auto"/>
        <w:ind w:firstLine="708"/>
        <w:jc w:val="both"/>
        <w:rPr>
          <w:rFonts w:ascii="Times New Roman" w:eastAsia="Calibri" w:hAnsi="Times New Roman" w:cs="Times New Roman"/>
          <w:sz w:val="24"/>
        </w:rPr>
      </w:pPr>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Energia elektryczna przesyłana i dostarczana jest poprzez sieć rozdzielczą średniego napięcia – 15kV, zaopatrzoną w lokalne stacje transformatorowe 15/0,4 kV, znajdujące się w niedalekiej odległości od odbiorców. Ze stacji energia elektryczna dostarczana jest do mieszkańców gminy poprzez linie niskiego napięcia 0,4/0,23 kV.</w:t>
      </w:r>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Istniejąca sieć 15 kV zaspokaja obecne zapotrzebowanie gminy na energię elektryczną oraz posiada rezerwy przepustowości, dzięki czemu może być w przyszłości rozbudowana, w celu zaspokojenia potrzeb nowych odbiorców.</w:t>
      </w:r>
    </w:p>
    <w:p w:rsidR="00A221DE" w:rsidRPr="00A52EF3" w:rsidRDefault="00A221DE"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Na terenie gminy Brody funkcjonuje mała elektrownia wodna (MEW) o mocy 185 kW. Energia elektryczna wytwarzana przez to źródło przesyłana jest do sieci.</w:t>
      </w:r>
    </w:p>
    <w:p w:rsidR="00A221DE" w:rsidRPr="00A52EF3" w:rsidRDefault="00A221DE" w:rsidP="00545ED4">
      <w:pPr>
        <w:pStyle w:val="Nagwek1"/>
        <w:numPr>
          <w:ilvl w:val="0"/>
          <w:numId w:val="86"/>
        </w:numPr>
        <w:rPr>
          <w:rFonts w:ascii="Times New Roman" w:eastAsia="Times New Roman" w:hAnsi="Times New Roman" w:cs="Times New Roman"/>
          <w:color w:val="auto"/>
        </w:rPr>
      </w:pPr>
      <w:bookmarkStart w:id="24" w:name="_Toc470763999"/>
      <w:r w:rsidRPr="00A52EF3">
        <w:rPr>
          <w:rFonts w:ascii="Times New Roman" w:eastAsia="Times New Roman" w:hAnsi="Times New Roman" w:cs="Times New Roman"/>
          <w:color w:val="auto"/>
        </w:rPr>
        <w:t>Oświetlenie uliczne</w:t>
      </w:r>
      <w:bookmarkEnd w:id="24"/>
    </w:p>
    <w:p w:rsidR="007867A0" w:rsidRPr="00A52EF3" w:rsidRDefault="007867A0" w:rsidP="00F25FCA">
      <w:pPr>
        <w:spacing w:after="0" w:line="360" w:lineRule="auto"/>
        <w:rPr>
          <w:rFonts w:ascii="Times New Roman" w:hAnsi="Times New Roman" w:cs="Times New Roman"/>
          <w:sz w:val="24"/>
        </w:rPr>
      </w:pPr>
      <w:r w:rsidRPr="00A52EF3">
        <w:rPr>
          <w:rFonts w:ascii="Times New Roman" w:hAnsi="Times New Roman" w:cs="Times New Roman"/>
          <w:sz w:val="24"/>
        </w:rPr>
        <w:t>Liczba opraw oświetleniowych na terenie gminy Brody – 1124 szt.</w:t>
      </w:r>
    </w:p>
    <w:p w:rsidR="007867A0" w:rsidRPr="00A52EF3" w:rsidRDefault="007867A0" w:rsidP="00F25FCA">
      <w:pPr>
        <w:spacing w:after="0" w:line="360" w:lineRule="auto"/>
        <w:rPr>
          <w:rFonts w:ascii="Times New Roman" w:hAnsi="Times New Roman" w:cs="Times New Roman"/>
          <w:sz w:val="24"/>
        </w:rPr>
      </w:pPr>
    </w:p>
    <w:tbl>
      <w:tblPr>
        <w:tblStyle w:val="Tabela-Siatka1"/>
        <w:tblW w:w="0" w:type="auto"/>
        <w:tblLook w:val="04A0" w:firstRow="1" w:lastRow="0" w:firstColumn="1" w:lastColumn="0" w:noHBand="0" w:noVBand="1"/>
      </w:tblPr>
      <w:tblGrid>
        <w:gridCol w:w="4606"/>
        <w:gridCol w:w="4606"/>
      </w:tblGrid>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Miejscowość</w:t>
            </w:r>
          </w:p>
        </w:tc>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Liczba opraw oświetleniowych</w:t>
            </w:r>
          </w:p>
        </w:tc>
      </w:tr>
      <w:tr w:rsidR="00CC547F" w:rsidRPr="00A52EF3" w:rsidTr="007867A0">
        <w:tc>
          <w:tcPr>
            <w:tcW w:w="9212" w:type="dxa"/>
            <w:gridSpan w:val="2"/>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Oprawy oświetleniowe uliczne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Adamów</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77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Bór Kunowski</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22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Brody</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116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Budy Brodzkie</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11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Dziurów</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62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Jabłonna</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33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Krynki i Rudnik</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181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Kuczów</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73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Lipie</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57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Lubienia</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83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Młynek</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81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Ruda</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62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Rudnik</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40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Staw Kunowski</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69 pkt. oświetleniowe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Styków</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81 pkt. oświetleniowe</w:t>
            </w:r>
          </w:p>
        </w:tc>
      </w:tr>
      <w:tr w:rsidR="00CC547F" w:rsidRPr="00A52EF3" w:rsidTr="007867A0">
        <w:tc>
          <w:tcPr>
            <w:tcW w:w="9212" w:type="dxa"/>
            <w:gridSpan w:val="2"/>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Oświetlenie parkowe</w:t>
            </w:r>
          </w:p>
        </w:tc>
      </w:tr>
      <w:tr w:rsidR="00CC547F"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rPr>
            </w:pPr>
            <w:r w:rsidRPr="00A52EF3">
              <w:rPr>
                <w:rFonts w:ascii="Times New Roman" w:hAnsi="Times New Roman" w:cs="Times New Roman"/>
                <w:b/>
                <w:sz w:val="24"/>
              </w:rPr>
              <w:t>Młynek</w:t>
            </w:r>
          </w:p>
        </w:tc>
        <w:tc>
          <w:tcPr>
            <w:tcW w:w="4606" w:type="dxa"/>
          </w:tcPr>
          <w:p w:rsidR="007867A0" w:rsidRPr="00A52EF3" w:rsidRDefault="007867A0"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17 pkt. oświetleniowe</w:t>
            </w:r>
          </w:p>
        </w:tc>
      </w:tr>
      <w:tr w:rsidR="007867A0" w:rsidRPr="00A52EF3" w:rsidTr="007867A0">
        <w:tc>
          <w:tcPr>
            <w:tcW w:w="4606" w:type="dxa"/>
          </w:tcPr>
          <w:p w:rsidR="007867A0" w:rsidRPr="00A52EF3" w:rsidRDefault="007867A0"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Lubienia</w:t>
            </w:r>
          </w:p>
        </w:tc>
        <w:tc>
          <w:tcPr>
            <w:tcW w:w="4606" w:type="dxa"/>
          </w:tcPr>
          <w:p w:rsidR="007867A0" w:rsidRPr="00A52EF3" w:rsidRDefault="007867A0" w:rsidP="00DB5B31">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39 pkt. oświetleniowe</w:t>
            </w:r>
          </w:p>
        </w:tc>
      </w:tr>
    </w:tbl>
    <w:p w:rsidR="007867A0" w:rsidRPr="00A52EF3" w:rsidRDefault="00DB5B31" w:rsidP="00DB5B31">
      <w:pPr>
        <w:pStyle w:val="Legenda"/>
        <w:rPr>
          <w:rFonts w:ascii="Times New Roman" w:hAnsi="Times New Roman" w:cs="Times New Roman"/>
          <w:color w:val="auto"/>
          <w:sz w:val="24"/>
          <w:szCs w:val="24"/>
        </w:rPr>
      </w:pPr>
      <w:r w:rsidRPr="00A52EF3">
        <w:rPr>
          <w:rFonts w:ascii="Times New Roman" w:hAnsi="Times New Roman" w:cs="Times New Roman"/>
          <w:color w:val="auto"/>
        </w:rPr>
        <w:t xml:space="preserve">Tabela </w:t>
      </w:r>
      <w:r w:rsidR="00572C29" w:rsidRPr="00A52EF3">
        <w:rPr>
          <w:rFonts w:ascii="Times New Roman" w:hAnsi="Times New Roman" w:cs="Times New Roman"/>
          <w:color w:val="auto"/>
        </w:rPr>
        <w:fldChar w:fldCharType="begin"/>
      </w:r>
      <w:r w:rsidRPr="00A52EF3">
        <w:rPr>
          <w:rFonts w:ascii="Times New Roman" w:hAnsi="Times New Roman" w:cs="Times New Roman"/>
          <w:color w:val="auto"/>
        </w:rPr>
        <w:instrText xml:space="preserve"> SEQ Tabela \* ARABIC </w:instrText>
      </w:r>
      <w:r w:rsidR="00572C29" w:rsidRPr="00A52EF3">
        <w:rPr>
          <w:rFonts w:ascii="Times New Roman" w:hAnsi="Times New Roman" w:cs="Times New Roman"/>
          <w:color w:val="auto"/>
        </w:rPr>
        <w:fldChar w:fldCharType="separate"/>
      </w:r>
      <w:r w:rsidR="00E675C7">
        <w:rPr>
          <w:rFonts w:ascii="Times New Roman" w:hAnsi="Times New Roman" w:cs="Times New Roman"/>
          <w:noProof/>
          <w:color w:val="auto"/>
        </w:rPr>
        <w:t>9</w:t>
      </w:r>
      <w:r w:rsidR="00572C29" w:rsidRPr="00A52EF3">
        <w:rPr>
          <w:rFonts w:ascii="Times New Roman" w:hAnsi="Times New Roman" w:cs="Times New Roman"/>
          <w:color w:val="auto"/>
        </w:rPr>
        <w:fldChar w:fldCharType="end"/>
      </w:r>
      <w:r w:rsidRPr="00A52EF3">
        <w:rPr>
          <w:rFonts w:ascii="Times New Roman" w:hAnsi="Times New Roman" w:cs="Times New Roman"/>
          <w:color w:val="auto"/>
        </w:rPr>
        <w:t>. Oświetlenie uliczne (dane: Urząd Gminy, 2016 rok)</w:t>
      </w:r>
    </w:p>
    <w:p w:rsidR="007867A0" w:rsidRPr="00A52EF3" w:rsidRDefault="007867A0" w:rsidP="00F25FCA">
      <w:pPr>
        <w:spacing w:after="0"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W całej instalacji oświetlenia ulicznego występuje 6 typów opraw oświetleniowych </w:t>
      </w:r>
      <w:r w:rsidRPr="00A52EF3">
        <w:rPr>
          <w:rFonts w:ascii="Times New Roman" w:hAnsi="Times New Roman" w:cs="Times New Roman"/>
          <w:sz w:val="24"/>
          <w:szCs w:val="24"/>
        </w:rPr>
        <w:br/>
        <w:t>o różnych mocach:</w:t>
      </w:r>
    </w:p>
    <w:p w:rsidR="007867A0" w:rsidRPr="00A52EF3" w:rsidRDefault="007867A0" w:rsidP="00F25FCA">
      <w:pPr>
        <w:spacing w:after="0" w:line="360" w:lineRule="auto"/>
        <w:ind w:firstLine="708"/>
        <w:jc w:val="both"/>
        <w:rPr>
          <w:rFonts w:ascii="Times New Roman" w:hAnsi="Times New Roman" w:cs="Times New Roman"/>
          <w:sz w:val="24"/>
          <w:szCs w:val="24"/>
        </w:rPr>
      </w:pP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32 % WLS-TC-70W (lampa sodowa),</w:t>
      </w:r>
    </w:p>
    <w:p w:rsidR="007867A0" w:rsidRPr="00A52EF3" w:rsidRDefault="007867A0" w:rsidP="00F25FCA">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30% WLS-TC-100W (lampa sodowa),</w:t>
      </w: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25% WLS-TC-150W (lampa sodowa),</w:t>
      </w: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10% WLS-TC-250W (lampa sodowa),</w:t>
      </w: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2% świetlówki energooszczędne,</w:t>
      </w: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1% MIX F160W (lampa rtęciowa).</w:t>
      </w:r>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Koszt całkowity oświetlenia ulicznego w 2015r. – 179 647,30 zł</w:t>
      </w:r>
    </w:p>
    <w:p w:rsidR="00F57324"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Zużycie energii elektrycznej na oświetlenie uliczne w 2015 r. – ok.1 504 040,00 kWh</w:t>
      </w:r>
    </w:p>
    <w:p w:rsidR="00F57324" w:rsidRPr="00A52EF3" w:rsidRDefault="00F57324" w:rsidP="00545ED4">
      <w:pPr>
        <w:pStyle w:val="Nagwek1"/>
        <w:numPr>
          <w:ilvl w:val="0"/>
          <w:numId w:val="86"/>
        </w:numPr>
        <w:spacing w:line="360" w:lineRule="auto"/>
        <w:rPr>
          <w:rFonts w:ascii="Times New Roman" w:hAnsi="Times New Roman" w:cs="Times New Roman"/>
          <w:color w:val="auto"/>
        </w:rPr>
      </w:pPr>
      <w:bookmarkStart w:id="25" w:name="_Toc470764000"/>
      <w:r w:rsidRPr="00A52EF3">
        <w:rPr>
          <w:rFonts w:ascii="Times New Roman" w:hAnsi="Times New Roman" w:cs="Times New Roman"/>
          <w:color w:val="auto"/>
        </w:rPr>
        <w:t>Odnawialne źródła energii</w:t>
      </w:r>
      <w:bookmarkEnd w:id="25"/>
    </w:p>
    <w:p w:rsidR="00F57324" w:rsidRPr="00A52EF3" w:rsidRDefault="00F57324" w:rsidP="00F25FCA">
      <w:pPr>
        <w:spacing w:after="0" w:line="360" w:lineRule="auto"/>
        <w:jc w:val="both"/>
        <w:rPr>
          <w:rFonts w:ascii="Times New Roman" w:eastAsia="Calibri" w:hAnsi="Times New Roman" w:cs="Times New Roman"/>
          <w:sz w:val="24"/>
        </w:rPr>
      </w:pPr>
    </w:p>
    <w:p w:rsidR="00F57324"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Przy opracowywaniu rozdziału dotyczącego odnawialnych źródeł energii wykorzystano informacje zawarte:</w:t>
      </w:r>
    </w:p>
    <w:p w:rsidR="00F57324" w:rsidRPr="00A52EF3" w:rsidRDefault="00F57324" w:rsidP="00F25FCA">
      <w:pPr>
        <w:numPr>
          <w:ilvl w:val="0"/>
          <w:numId w:val="3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w Programie Ochrony Środowiska dla Powiatu Starachowickiego na lata 2012-2015 z uwzględnieniem lat 2016-2019,</w:t>
      </w:r>
    </w:p>
    <w:p w:rsidR="00F57324" w:rsidRPr="00A52EF3" w:rsidRDefault="00F57324" w:rsidP="00F25FCA">
      <w:pPr>
        <w:numPr>
          <w:ilvl w:val="0"/>
          <w:numId w:val="3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w Programie Ochrony Środowiska dla Województwa Świętokrzyskiego na lata 2011-2015 z perspektywą do roku 2019,</w:t>
      </w:r>
    </w:p>
    <w:p w:rsidR="00F57324" w:rsidRPr="00A52EF3" w:rsidRDefault="00F57324" w:rsidP="00F25FCA">
      <w:pPr>
        <w:numPr>
          <w:ilvl w:val="0"/>
          <w:numId w:val="36"/>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na stronie internetowej: http://www.ure.gov.pl/uremapoze/mapa.html.</w:t>
      </w:r>
    </w:p>
    <w:p w:rsidR="00F57324" w:rsidRPr="00A52EF3" w:rsidRDefault="00F57324" w:rsidP="00F25FCA">
      <w:pPr>
        <w:spacing w:after="0" w:line="360" w:lineRule="auto"/>
        <w:ind w:left="360"/>
        <w:jc w:val="both"/>
        <w:rPr>
          <w:rFonts w:ascii="Times New Roman" w:eastAsia="Calibri" w:hAnsi="Times New Roman" w:cs="Times New Roman"/>
          <w:sz w:val="24"/>
        </w:rPr>
      </w:pPr>
    </w:p>
    <w:p w:rsidR="00F57324" w:rsidRPr="00A52EF3" w:rsidRDefault="00F57324" w:rsidP="00F25FCA">
      <w:pPr>
        <w:keepNext/>
        <w:spacing w:after="0" w:line="360" w:lineRule="auto"/>
        <w:jc w:val="center"/>
        <w:rPr>
          <w:rFonts w:ascii="Times New Roman" w:eastAsia="Calibri" w:hAnsi="Times New Roman" w:cs="Times New Roman"/>
          <w:sz w:val="24"/>
        </w:rPr>
      </w:pPr>
      <w:r w:rsidRPr="00A52EF3">
        <w:rPr>
          <w:rFonts w:ascii="Times New Roman" w:eastAsia="Calibri" w:hAnsi="Times New Roman" w:cs="Times New Roman"/>
          <w:noProof/>
          <w:sz w:val="24"/>
          <w:lang w:eastAsia="pl-PL"/>
        </w:rPr>
        <w:lastRenderedPageBreak/>
        <w:drawing>
          <wp:inline distT="0" distB="0" distL="0" distR="0" wp14:anchorId="6C09B2D5" wp14:editId="4B1E7DD4">
            <wp:extent cx="5753100" cy="5534025"/>
            <wp:effectExtent l="1905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3100" cy="5534025"/>
                    </a:xfrm>
                    <a:prstGeom prst="rect">
                      <a:avLst/>
                    </a:prstGeom>
                    <a:noFill/>
                    <a:ln w="9525">
                      <a:noFill/>
                      <a:miter lim="800000"/>
                      <a:headEnd/>
                      <a:tailEnd/>
                    </a:ln>
                  </pic:spPr>
                </pic:pic>
              </a:graphicData>
            </a:graphic>
          </wp:inline>
        </w:drawing>
      </w:r>
    </w:p>
    <w:p w:rsidR="00F57324" w:rsidRPr="00A52EF3" w:rsidRDefault="00F57324" w:rsidP="00F25FCA">
      <w:pPr>
        <w:spacing w:after="0" w:line="360" w:lineRule="auto"/>
        <w:jc w:val="both"/>
        <w:rPr>
          <w:rFonts w:ascii="Times New Roman" w:eastAsia="Calibri" w:hAnsi="Times New Roman" w:cs="Times New Roman"/>
          <w:b/>
          <w:bCs/>
          <w:sz w:val="18"/>
          <w:szCs w:val="18"/>
        </w:rPr>
      </w:pPr>
      <w:r w:rsidRPr="00A52EF3">
        <w:rPr>
          <w:rFonts w:ascii="Times New Roman" w:eastAsia="Calibri" w:hAnsi="Times New Roman" w:cs="Times New Roman"/>
          <w:b/>
          <w:bCs/>
          <w:sz w:val="18"/>
          <w:szCs w:val="18"/>
        </w:rPr>
        <w:t xml:space="preserve">Mapa  </w:t>
      </w:r>
      <w:r w:rsidR="00572C29" w:rsidRPr="00A52EF3">
        <w:rPr>
          <w:rFonts w:ascii="Times New Roman" w:eastAsia="Calibri" w:hAnsi="Times New Roman" w:cs="Times New Roman"/>
          <w:b/>
          <w:bCs/>
          <w:sz w:val="18"/>
          <w:szCs w:val="18"/>
        </w:rPr>
        <w:fldChar w:fldCharType="begin"/>
      </w:r>
      <w:r w:rsidRPr="00A52EF3">
        <w:rPr>
          <w:rFonts w:ascii="Times New Roman" w:eastAsia="Calibri" w:hAnsi="Times New Roman" w:cs="Times New Roman"/>
          <w:b/>
          <w:bCs/>
          <w:sz w:val="18"/>
          <w:szCs w:val="18"/>
        </w:rPr>
        <w:instrText xml:space="preserve"> SEQ Mapa_ \* ARABIC </w:instrText>
      </w:r>
      <w:r w:rsidR="00572C29" w:rsidRPr="00A52EF3">
        <w:rPr>
          <w:rFonts w:ascii="Times New Roman" w:eastAsia="Calibri" w:hAnsi="Times New Roman" w:cs="Times New Roman"/>
          <w:b/>
          <w:bCs/>
          <w:sz w:val="18"/>
          <w:szCs w:val="18"/>
        </w:rPr>
        <w:fldChar w:fldCharType="separate"/>
      </w:r>
      <w:r w:rsidR="00E675C7">
        <w:rPr>
          <w:rFonts w:ascii="Times New Roman" w:eastAsia="Calibri" w:hAnsi="Times New Roman" w:cs="Times New Roman"/>
          <w:b/>
          <w:bCs/>
          <w:noProof/>
          <w:sz w:val="18"/>
          <w:szCs w:val="18"/>
        </w:rPr>
        <w:t>1</w:t>
      </w:r>
      <w:r w:rsidR="00572C29" w:rsidRPr="00A52EF3">
        <w:rPr>
          <w:rFonts w:ascii="Times New Roman" w:eastAsia="Calibri" w:hAnsi="Times New Roman" w:cs="Times New Roman"/>
          <w:b/>
          <w:bCs/>
          <w:noProof/>
          <w:sz w:val="18"/>
          <w:szCs w:val="18"/>
        </w:rPr>
        <w:fldChar w:fldCharType="end"/>
      </w:r>
      <w:r w:rsidRPr="00A52EF3">
        <w:rPr>
          <w:rFonts w:ascii="Times New Roman" w:eastAsia="Calibri" w:hAnsi="Times New Roman" w:cs="Times New Roman"/>
          <w:b/>
          <w:bCs/>
          <w:sz w:val="18"/>
          <w:szCs w:val="18"/>
        </w:rPr>
        <w:t>. Lokalizacja instalacji wytwarzających energię z OZE na terenie województwa świętokrzyskiego</w:t>
      </w:r>
      <w:r w:rsidR="003A0F5B" w:rsidRPr="00A52EF3">
        <w:rPr>
          <w:rFonts w:ascii="Times New Roman" w:eastAsia="Calibri" w:hAnsi="Times New Roman" w:cs="Times New Roman"/>
          <w:b/>
          <w:bCs/>
          <w:sz w:val="18"/>
          <w:szCs w:val="18"/>
        </w:rPr>
        <w:t xml:space="preserve"> (dane: http://www.ure.gov.pl/uremapoze/mapa.html)</w:t>
      </w:r>
    </w:p>
    <w:p w:rsidR="00F57324" w:rsidRPr="00A52EF3" w:rsidRDefault="00F57324" w:rsidP="00F25FCA">
      <w:pPr>
        <w:spacing w:after="0" w:line="360" w:lineRule="auto"/>
        <w:ind w:firstLine="708"/>
        <w:jc w:val="both"/>
        <w:rPr>
          <w:rFonts w:ascii="Times New Roman" w:eastAsia="Calibri" w:hAnsi="Times New Roman" w:cs="Times New Roman"/>
          <w:sz w:val="24"/>
        </w:rPr>
      </w:pPr>
    </w:p>
    <w:p w:rsidR="00F57324"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Na terenie całego województwa świętokrzyskiego, z ekonomicznego punktu widzenia, najefektywniejszymi źródłami energii odnawialnej są biomasa oraz otrzymywane z niej biopaliwa i biokomponenty. Do instalacji odnawialnych źródeł energii wykorzystywanych na terenie województwa świętokrzyskiego należą: </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34 elektrownie wodne o sumarycznej mocy 2,2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10 farm wiatrowych o sumarycznej mocy 5,8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342 instalacje solarne o łącznej mocy 1,2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6 biogazowni, których łączna moc wynosi 3,8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7 instalacji gruntowych pomp ciepła o łącznej mocy ok. 0,15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jedna instalacja produkcji energii elektrycznej z gazu wysypiskowego o mocy 0,36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 xml:space="preserve">7 (dużych) instalacji wykorzystujących biomasę do wytwarzania energii </w:t>
      </w:r>
      <w:r w:rsidR="009F3915" w:rsidRPr="00A52EF3">
        <w:rPr>
          <w:rFonts w:ascii="Times New Roman" w:eastAsia="Calibri" w:hAnsi="Times New Roman" w:cs="Times New Roman"/>
          <w:sz w:val="24"/>
        </w:rPr>
        <w:br/>
      </w:r>
      <w:r w:rsidRPr="00A52EF3">
        <w:rPr>
          <w:rFonts w:ascii="Times New Roman" w:eastAsia="Calibri" w:hAnsi="Times New Roman" w:cs="Times New Roman"/>
          <w:sz w:val="24"/>
        </w:rPr>
        <w:t>o łącznej mocy 27 MW;</w:t>
      </w:r>
    </w:p>
    <w:p w:rsidR="00F57324" w:rsidRPr="00A52EF3" w:rsidRDefault="00F57324" w:rsidP="00F25FCA">
      <w:pPr>
        <w:numPr>
          <w:ilvl w:val="0"/>
          <w:numId w:val="35"/>
        </w:numPr>
        <w:spacing w:after="0"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9 instalacji wykorzystujących biopaliwa stałe z biomasy o łącznej wydajności ok. 29 tys. Mg/rok.</w:t>
      </w:r>
    </w:p>
    <w:p w:rsidR="00F57324" w:rsidRPr="00A52EF3" w:rsidRDefault="00F57324" w:rsidP="00F32558">
      <w:pPr>
        <w:spacing w:after="0" w:line="360" w:lineRule="auto"/>
        <w:rPr>
          <w:rFonts w:ascii="Times New Roman" w:eastAsia="Calibri" w:hAnsi="Times New Roman" w:cs="Times New Roman"/>
          <w:sz w:val="24"/>
        </w:rPr>
      </w:pPr>
    </w:p>
    <w:p w:rsidR="00F57324"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Na obszarze powiatu starachowickiego energia odnawialna staje się coraz bardziej popularna. Występują tu m.in. trzy elektrownie wodne oraz dwie elektrownie wykorzystujące promieniowanie słoneczne.</w:t>
      </w:r>
    </w:p>
    <w:p w:rsidR="00F57324" w:rsidRPr="00A52EF3" w:rsidRDefault="00F57324" w:rsidP="00F25FCA">
      <w:pPr>
        <w:spacing w:after="0" w:line="360" w:lineRule="auto"/>
        <w:jc w:val="both"/>
        <w:rPr>
          <w:rFonts w:ascii="Times New Roman" w:eastAsia="Calibri" w:hAnsi="Times New Roman" w:cs="Times New Roman"/>
          <w:sz w:val="24"/>
        </w:rPr>
      </w:pPr>
    </w:p>
    <w:p w:rsidR="00F57324" w:rsidRPr="00A52EF3" w:rsidRDefault="009F3915" w:rsidP="00881557">
      <w:pPr>
        <w:pStyle w:val="Nagwek2"/>
        <w:numPr>
          <w:ilvl w:val="1"/>
          <w:numId w:val="86"/>
        </w:numPr>
        <w:spacing w:after="120" w:line="360" w:lineRule="auto"/>
        <w:ind w:left="1077"/>
        <w:rPr>
          <w:rFonts w:ascii="Times New Roman" w:eastAsia="Calibri" w:hAnsi="Times New Roman" w:cs="Times New Roman"/>
          <w:color w:val="auto"/>
        </w:rPr>
      </w:pPr>
      <w:bookmarkStart w:id="26" w:name="_Toc470764001"/>
      <w:r w:rsidRPr="00A52EF3">
        <w:rPr>
          <w:rFonts w:ascii="Times New Roman" w:eastAsia="Calibri" w:hAnsi="Times New Roman" w:cs="Times New Roman"/>
          <w:color w:val="auto"/>
        </w:rPr>
        <w:t>Energetyka wodna</w:t>
      </w:r>
      <w:bookmarkEnd w:id="26"/>
    </w:p>
    <w:p w:rsidR="00F57324"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Na terenie powiatu starachowickiego działają </w:t>
      </w:r>
      <w:r w:rsidR="00A165E5" w:rsidRPr="00A52EF3">
        <w:rPr>
          <w:rFonts w:ascii="Times New Roman" w:eastAsia="Calibri" w:hAnsi="Times New Roman" w:cs="Times New Roman"/>
          <w:sz w:val="24"/>
        </w:rPr>
        <w:t>dwie</w:t>
      </w:r>
      <w:r w:rsidRPr="00A52EF3">
        <w:rPr>
          <w:rFonts w:ascii="Times New Roman" w:eastAsia="Calibri" w:hAnsi="Times New Roman" w:cs="Times New Roman"/>
          <w:sz w:val="24"/>
        </w:rPr>
        <w:t xml:space="preserve"> małe elektrownie wodne przepływowe (dane na dzień 31.12.2015r.), z czego jedna z nich znajduje się na terenie miasta Starachowice i zlokalizowana jest na rzece Kamiennej, a druga elektrownia wodna zlokalizowana jest na terenie gminy Brody. Wszystkie elektrownie posiadają łączną moc </w:t>
      </w:r>
      <w:r w:rsidR="009F3915" w:rsidRPr="00A52EF3">
        <w:rPr>
          <w:rFonts w:ascii="Times New Roman" w:eastAsia="Calibri" w:hAnsi="Times New Roman" w:cs="Times New Roman"/>
          <w:sz w:val="24"/>
        </w:rPr>
        <w:br/>
      </w:r>
      <w:r w:rsidRPr="00A52EF3">
        <w:rPr>
          <w:rFonts w:ascii="Times New Roman" w:eastAsia="Calibri" w:hAnsi="Times New Roman" w:cs="Times New Roman"/>
          <w:sz w:val="24"/>
        </w:rPr>
        <w:t xml:space="preserve">635 kW. Planowana jest rozbudowa istniejących małych elektrowni wodnych. </w:t>
      </w:r>
    </w:p>
    <w:p w:rsidR="00F32558" w:rsidRPr="00A52EF3" w:rsidRDefault="00F32558" w:rsidP="00F25FCA">
      <w:pPr>
        <w:spacing w:after="0" w:line="360" w:lineRule="auto"/>
        <w:ind w:firstLine="708"/>
        <w:jc w:val="both"/>
        <w:rPr>
          <w:rFonts w:ascii="Times New Roman" w:eastAsia="Calibri" w:hAnsi="Times New Roman" w:cs="Times New Roman"/>
          <w:sz w:val="28"/>
        </w:rPr>
      </w:pPr>
      <w:r w:rsidRPr="00A52EF3">
        <w:rPr>
          <w:rFonts w:ascii="Times New Roman" w:hAnsi="Times New Roman" w:cs="Times New Roman"/>
          <w:sz w:val="24"/>
        </w:rPr>
        <w:t>Na terenie gminy Brody funkcjonuje elektrownia wodna małej mocy – 110 k</w:t>
      </w:r>
      <w:r w:rsidR="007352AF" w:rsidRPr="00A52EF3">
        <w:rPr>
          <w:rFonts w:ascii="Times New Roman" w:hAnsi="Times New Roman" w:cs="Times New Roman"/>
          <w:sz w:val="24"/>
        </w:rPr>
        <w:t>W</w:t>
      </w:r>
      <w:r w:rsidRPr="00A52EF3">
        <w:rPr>
          <w:rFonts w:ascii="Times New Roman" w:hAnsi="Times New Roman" w:cs="Times New Roman"/>
          <w:sz w:val="24"/>
        </w:rPr>
        <w:t>. Energia elektryczna pozyskiwana z tego źródła przesyłana jest do sieci.</w:t>
      </w:r>
    </w:p>
    <w:p w:rsidR="00F57324" w:rsidRPr="00A52EF3" w:rsidRDefault="00F57324" w:rsidP="00F25FCA">
      <w:pPr>
        <w:spacing w:after="0" w:line="360" w:lineRule="auto"/>
        <w:ind w:firstLine="708"/>
        <w:jc w:val="both"/>
        <w:rPr>
          <w:rFonts w:ascii="Times New Roman" w:eastAsia="Calibri" w:hAnsi="Times New Roman" w:cs="Times New Roman"/>
          <w:sz w:val="24"/>
        </w:rPr>
      </w:pPr>
    </w:p>
    <w:p w:rsidR="00F57324" w:rsidRPr="00A52EF3" w:rsidRDefault="009F3915" w:rsidP="00881557">
      <w:pPr>
        <w:pStyle w:val="Nagwek2"/>
        <w:numPr>
          <w:ilvl w:val="1"/>
          <w:numId w:val="86"/>
        </w:numPr>
        <w:spacing w:after="120" w:line="360" w:lineRule="auto"/>
        <w:ind w:left="1077"/>
        <w:rPr>
          <w:rFonts w:ascii="Times New Roman" w:eastAsia="Calibri" w:hAnsi="Times New Roman" w:cs="Times New Roman"/>
          <w:color w:val="auto"/>
        </w:rPr>
      </w:pPr>
      <w:bookmarkStart w:id="27" w:name="_Toc470764002"/>
      <w:r w:rsidRPr="00A52EF3">
        <w:rPr>
          <w:rFonts w:ascii="Times New Roman" w:eastAsia="Calibri" w:hAnsi="Times New Roman" w:cs="Times New Roman"/>
          <w:color w:val="auto"/>
        </w:rPr>
        <w:t>Energetyka wiatrowa</w:t>
      </w:r>
      <w:bookmarkEnd w:id="27"/>
    </w:p>
    <w:p w:rsidR="00F57324" w:rsidRPr="00A52EF3" w:rsidRDefault="00F57324" w:rsidP="00881557">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Według danych zawartych w „Programie Ochrony Środowiska dla Województwa Świętokrzyskiego” północna i północo – wschodnia część województwa m.in. z powiatem Starachowice i gminą Brody znajdują się w korzystnej strefie energetycznej wiatru. Średnia prędkość wiatru przekracza tu 10 m/s. Na terenie powiatu starachowickiego nie istnieje obecnie żadna farma wiatrowa, ale występują miejsca, w których zlokalizowane są pojedyncze wiatraki. </w:t>
      </w:r>
    </w:p>
    <w:p w:rsidR="00F57324" w:rsidRPr="00A52EF3" w:rsidRDefault="00F57324" w:rsidP="00881557">
      <w:pPr>
        <w:keepNext/>
        <w:spacing w:after="0" w:line="360" w:lineRule="auto"/>
        <w:jc w:val="center"/>
        <w:rPr>
          <w:rFonts w:ascii="Times New Roman" w:eastAsia="Calibri" w:hAnsi="Times New Roman" w:cs="Times New Roman"/>
          <w:sz w:val="24"/>
        </w:rPr>
      </w:pPr>
      <w:r w:rsidRPr="00A52EF3">
        <w:rPr>
          <w:rFonts w:ascii="Times New Roman" w:eastAsia="Calibri" w:hAnsi="Times New Roman" w:cs="Times New Roman"/>
          <w:noProof/>
          <w:sz w:val="24"/>
          <w:lang w:eastAsia="pl-PL"/>
        </w:rPr>
        <w:lastRenderedPageBreak/>
        <w:drawing>
          <wp:inline distT="0" distB="0" distL="0" distR="0" wp14:anchorId="6BCE0FCB" wp14:editId="5B40E085">
            <wp:extent cx="5065689" cy="4562475"/>
            <wp:effectExtent l="19050" t="0" r="1611"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65689" cy="4562475"/>
                    </a:xfrm>
                    <a:prstGeom prst="rect">
                      <a:avLst/>
                    </a:prstGeom>
                    <a:noFill/>
                    <a:ln w="9525">
                      <a:noFill/>
                      <a:miter lim="800000"/>
                      <a:headEnd/>
                      <a:tailEnd/>
                    </a:ln>
                  </pic:spPr>
                </pic:pic>
              </a:graphicData>
            </a:graphic>
          </wp:inline>
        </w:drawing>
      </w:r>
    </w:p>
    <w:p w:rsidR="00F57324" w:rsidRPr="00A52EF3" w:rsidRDefault="00F57324" w:rsidP="00F25FCA">
      <w:pPr>
        <w:spacing w:after="0" w:line="360" w:lineRule="auto"/>
        <w:jc w:val="center"/>
        <w:rPr>
          <w:rFonts w:ascii="Times New Roman" w:eastAsia="Calibri" w:hAnsi="Times New Roman" w:cs="Times New Roman"/>
          <w:b/>
          <w:bCs/>
          <w:sz w:val="18"/>
          <w:szCs w:val="18"/>
        </w:rPr>
      </w:pPr>
      <w:r w:rsidRPr="00A52EF3">
        <w:rPr>
          <w:rFonts w:ascii="Times New Roman" w:eastAsia="Calibri" w:hAnsi="Times New Roman" w:cs="Times New Roman"/>
          <w:b/>
          <w:bCs/>
          <w:sz w:val="18"/>
          <w:szCs w:val="18"/>
        </w:rPr>
        <w:t xml:space="preserve">Mapa  </w:t>
      </w:r>
      <w:r w:rsidR="00572C29" w:rsidRPr="00A52EF3">
        <w:rPr>
          <w:rFonts w:ascii="Times New Roman" w:eastAsia="Calibri" w:hAnsi="Times New Roman" w:cs="Times New Roman"/>
          <w:b/>
          <w:bCs/>
          <w:sz w:val="18"/>
          <w:szCs w:val="18"/>
        </w:rPr>
        <w:fldChar w:fldCharType="begin"/>
      </w:r>
      <w:r w:rsidRPr="00A52EF3">
        <w:rPr>
          <w:rFonts w:ascii="Times New Roman" w:eastAsia="Calibri" w:hAnsi="Times New Roman" w:cs="Times New Roman"/>
          <w:b/>
          <w:bCs/>
          <w:sz w:val="18"/>
          <w:szCs w:val="18"/>
        </w:rPr>
        <w:instrText xml:space="preserve"> SEQ Mapa_ \* ARABIC </w:instrText>
      </w:r>
      <w:r w:rsidR="00572C29" w:rsidRPr="00A52EF3">
        <w:rPr>
          <w:rFonts w:ascii="Times New Roman" w:eastAsia="Calibri" w:hAnsi="Times New Roman" w:cs="Times New Roman"/>
          <w:b/>
          <w:bCs/>
          <w:sz w:val="18"/>
          <w:szCs w:val="18"/>
        </w:rPr>
        <w:fldChar w:fldCharType="separate"/>
      </w:r>
      <w:r w:rsidR="00E675C7">
        <w:rPr>
          <w:rFonts w:ascii="Times New Roman" w:eastAsia="Calibri" w:hAnsi="Times New Roman" w:cs="Times New Roman"/>
          <w:b/>
          <w:bCs/>
          <w:noProof/>
          <w:sz w:val="18"/>
          <w:szCs w:val="18"/>
        </w:rPr>
        <w:t>2</w:t>
      </w:r>
      <w:r w:rsidR="00572C29" w:rsidRPr="00A52EF3">
        <w:rPr>
          <w:rFonts w:ascii="Times New Roman" w:eastAsia="Calibri" w:hAnsi="Times New Roman" w:cs="Times New Roman"/>
          <w:b/>
          <w:bCs/>
          <w:noProof/>
          <w:sz w:val="18"/>
          <w:szCs w:val="18"/>
        </w:rPr>
        <w:fldChar w:fldCharType="end"/>
      </w:r>
      <w:r w:rsidRPr="00A52EF3">
        <w:rPr>
          <w:rFonts w:ascii="Times New Roman" w:eastAsia="Calibri" w:hAnsi="Times New Roman" w:cs="Times New Roman"/>
          <w:b/>
          <w:bCs/>
          <w:sz w:val="18"/>
          <w:szCs w:val="18"/>
        </w:rPr>
        <w:t>. Strefy energetyczne wiatru na obszarze województwa świętokrzyskiego</w:t>
      </w:r>
    </w:p>
    <w:p w:rsidR="00F57324" w:rsidRPr="00A52EF3" w:rsidRDefault="00F57324" w:rsidP="00F25FCA">
      <w:pPr>
        <w:spacing w:after="0" w:line="360" w:lineRule="auto"/>
        <w:jc w:val="both"/>
        <w:rPr>
          <w:rFonts w:ascii="Times New Roman" w:eastAsia="Calibri" w:hAnsi="Times New Roman" w:cs="Times New Roman"/>
          <w:sz w:val="24"/>
        </w:rPr>
      </w:pPr>
    </w:p>
    <w:p w:rsidR="00F57324" w:rsidRPr="00A52EF3" w:rsidRDefault="009F3915" w:rsidP="00545ED4">
      <w:pPr>
        <w:pStyle w:val="Nagwek2"/>
        <w:numPr>
          <w:ilvl w:val="1"/>
          <w:numId w:val="86"/>
        </w:numPr>
        <w:spacing w:after="240" w:line="360" w:lineRule="auto"/>
        <w:rPr>
          <w:rFonts w:ascii="Times New Roman" w:eastAsia="Calibri" w:hAnsi="Times New Roman" w:cs="Times New Roman"/>
          <w:color w:val="auto"/>
        </w:rPr>
      </w:pPr>
      <w:bookmarkStart w:id="28" w:name="_Toc470764003"/>
      <w:r w:rsidRPr="00A52EF3">
        <w:rPr>
          <w:rFonts w:ascii="Times New Roman" w:eastAsia="Calibri" w:hAnsi="Times New Roman" w:cs="Times New Roman"/>
          <w:color w:val="auto"/>
        </w:rPr>
        <w:t>Energetyka słoneczna</w:t>
      </w:r>
      <w:bookmarkEnd w:id="28"/>
    </w:p>
    <w:p w:rsidR="00F57324" w:rsidRPr="00A52EF3" w:rsidRDefault="00F57324" w:rsidP="00F25FCA">
      <w:pPr>
        <w:spacing w:after="0" w:line="360" w:lineRule="auto"/>
        <w:ind w:firstLine="708"/>
        <w:jc w:val="both"/>
        <w:rPr>
          <w:rFonts w:ascii="Times New Roman" w:eastAsia="Calibri" w:hAnsi="Times New Roman" w:cs="Times New Roman"/>
          <w:snapToGrid w:val="0"/>
          <w:sz w:val="24"/>
        </w:rPr>
      </w:pPr>
      <w:r w:rsidRPr="00A52EF3">
        <w:rPr>
          <w:rFonts w:ascii="Times New Roman" w:eastAsia="Calibri" w:hAnsi="Times New Roman" w:cs="Times New Roman"/>
          <w:snapToGrid w:val="0"/>
          <w:sz w:val="24"/>
        </w:rPr>
        <w:t xml:space="preserve">Na obszarze powiatu starachowickiego nie wykorzystuje się energii słonecznej </w:t>
      </w:r>
      <w:r w:rsidR="009F3915" w:rsidRPr="00A52EF3">
        <w:rPr>
          <w:rFonts w:ascii="Times New Roman" w:eastAsia="Calibri" w:hAnsi="Times New Roman" w:cs="Times New Roman"/>
          <w:snapToGrid w:val="0"/>
          <w:sz w:val="24"/>
        </w:rPr>
        <w:br/>
      </w:r>
      <w:r w:rsidRPr="00A52EF3">
        <w:rPr>
          <w:rFonts w:ascii="Times New Roman" w:eastAsia="Calibri" w:hAnsi="Times New Roman" w:cs="Times New Roman"/>
          <w:snapToGrid w:val="0"/>
          <w:sz w:val="24"/>
        </w:rPr>
        <w:t>w obiektach użyteczności publicznej, których administratorami są poszczególne gminy czy Starostwo Powiatowe. Dostrzega się jednak coraz powszechniejsze zainteresowanie montażem kolektorów słonecznych na dachach budynków indywidualnych. Urzędy Gmin nie posiadają danych dotyczących ilości takich instalacji na swoich obszarach. Na terenie powiatu funkcjonują 2 elektrownie słoneczne o łącznej mocy zainstalowanej wynoszącej 22 kW.</w:t>
      </w:r>
    </w:p>
    <w:p w:rsidR="00F57324" w:rsidRPr="00A52EF3" w:rsidRDefault="00F57324" w:rsidP="00F25FCA">
      <w:pPr>
        <w:spacing w:after="0" w:line="360" w:lineRule="auto"/>
        <w:jc w:val="both"/>
        <w:rPr>
          <w:rFonts w:ascii="Times New Roman" w:eastAsia="Calibri" w:hAnsi="Times New Roman" w:cs="Times New Roman"/>
          <w:sz w:val="24"/>
        </w:rPr>
      </w:pPr>
    </w:p>
    <w:p w:rsidR="00F57324" w:rsidRPr="00A52EF3" w:rsidRDefault="009F3915" w:rsidP="00545ED4">
      <w:pPr>
        <w:pStyle w:val="Nagwek2"/>
        <w:numPr>
          <w:ilvl w:val="1"/>
          <w:numId w:val="86"/>
        </w:numPr>
        <w:spacing w:after="240" w:line="360" w:lineRule="auto"/>
        <w:rPr>
          <w:rFonts w:ascii="Times New Roman" w:eastAsia="Calibri" w:hAnsi="Times New Roman" w:cs="Times New Roman"/>
          <w:color w:val="auto"/>
        </w:rPr>
      </w:pPr>
      <w:bookmarkStart w:id="29" w:name="_Toc470764004"/>
      <w:r w:rsidRPr="00A52EF3">
        <w:rPr>
          <w:rFonts w:ascii="Times New Roman" w:eastAsia="Calibri" w:hAnsi="Times New Roman" w:cs="Times New Roman"/>
          <w:color w:val="auto"/>
        </w:rPr>
        <w:lastRenderedPageBreak/>
        <w:t>Biomasa</w:t>
      </w:r>
      <w:bookmarkEnd w:id="29"/>
    </w:p>
    <w:p w:rsidR="00F57324" w:rsidRPr="00A52EF3" w:rsidRDefault="00F57324"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Znaczne zasoby biomasy występują zwłaszcza na terenach wiejskich powiatu starachowickiego i pochodzą głównie z produkcji rolniczej oraz gospodarki leśnej. Nie ma natomiast konkretnych danych dotyczących występowania w poszczególnych gminach gospodarstw rolnych produkujących tzw. rośliny energetyczne oraz istnienia instalacji do przetwarzania tego typu paliw. Z pewnością jednak w indywidualnych gospodarstwach stosuje się odpady drzewne oraz  pochodzące z produkcji rolniczej. </w:t>
      </w:r>
    </w:p>
    <w:p w:rsidR="00F57324" w:rsidRPr="00A52EF3" w:rsidRDefault="00F57324" w:rsidP="00F25FCA">
      <w:pPr>
        <w:spacing w:after="0" w:line="360" w:lineRule="auto"/>
        <w:jc w:val="both"/>
        <w:rPr>
          <w:rFonts w:ascii="Times New Roman" w:eastAsia="Calibri" w:hAnsi="Times New Roman" w:cs="Times New Roman"/>
          <w:sz w:val="24"/>
        </w:rPr>
      </w:pPr>
    </w:p>
    <w:p w:rsidR="00964A10" w:rsidRPr="00A52EF3" w:rsidRDefault="002E6480" w:rsidP="00545ED4">
      <w:pPr>
        <w:pStyle w:val="Nagwek1"/>
        <w:numPr>
          <w:ilvl w:val="0"/>
          <w:numId w:val="86"/>
        </w:numPr>
        <w:spacing w:after="240" w:line="360" w:lineRule="auto"/>
        <w:rPr>
          <w:rFonts w:ascii="Times New Roman" w:hAnsi="Times New Roman" w:cs="Times New Roman"/>
          <w:color w:val="auto"/>
        </w:rPr>
      </w:pPr>
      <w:bookmarkStart w:id="30" w:name="_Toc449097733"/>
      <w:bookmarkStart w:id="31" w:name="_Toc451417911"/>
      <w:bookmarkStart w:id="32" w:name="_Toc470764005"/>
      <w:r w:rsidRPr="00A52EF3">
        <w:rPr>
          <w:rFonts w:ascii="Times New Roman" w:hAnsi="Times New Roman" w:cs="Times New Roman"/>
          <w:color w:val="auto"/>
        </w:rPr>
        <w:t>Identyfikacja obszarów problemowych</w:t>
      </w:r>
      <w:bookmarkEnd w:id="30"/>
      <w:bookmarkEnd w:id="31"/>
      <w:bookmarkEnd w:id="32"/>
    </w:p>
    <w:p w:rsidR="00964A10" w:rsidRPr="00A52EF3" w:rsidRDefault="00964A10"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N</w:t>
      </w:r>
      <w:r w:rsidR="00E67F9A" w:rsidRPr="00A52EF3">
        <w:rPr>
          <w:rFonts w:ascii="Times New Roman" w:hAnsi="Times New Roman" w:cs="Times New Roman"/>
          <w:sz w:val="24"/>
          <w:szCs w:val="24"/>
        </w:rPr>
        <w:t>a podstawie analizy roku bazowego dla</w:t>
      </w:r>
      <w:r w:rsidRPr="00A52EF3">
        <w:rPr>
          <w:rFonts w:ascii="Times New Roman" w:hAnsi="Times New Roman" w:cs="Times New Roman"/>
          <w:sz w:val="24"/>
          <w:szCs w:val="24"/>
        </w:rPr>
        <w:t xml:space="preserve"> Gminy oraz przeprowadzonej inwentaryzacji źródeł emisji zidentyfikowano aspekty i obszary problemowe, występujące na terenie Gminy Brody:</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rStyle w:val="Teksttreci2Exact"/>
          <w:rFonts w:eastAsiaTheme="minorHAnsi"/>
          <w:color w:val="auto"/>
          <w:sz w:val="24"/>
          <w:szCs w:val="24"/>
        </w:rPr>
      </w:pPr>
      <w:r w:rsidRPr="00A52EF3">
        <w:rPr>
          <w:rStyle w:val="Teksttreci2Exact"/>
          <w:rFonts w:eastAsia="Calibri"/>
          <w:color w:val="auto"/>
          <w:sz w:val="24"/>
          <w:szCs w:val="24"/>
        </w:rPr>
        <w:t>Brak centralnego systemu ogrzewania;</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Głównym nośnikiem energii w budownictwie mieszkalnym jednorodzinnym są kotły na paliwa stałe (węgiel, drewno, koks), które powodują dużą emisję zanieczyszczeń do powietrza;</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Duża ilość nieocieplonych budynków mieszkalnych;</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Niska efektywność energetyczna budynków mieszkalnych;</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Niewielki odsetek ludności korzystającej z komunikacji publicznej;</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Niedostateczny standard dróg. Poprawa ich jakości wpłynęłaby na zmniejszenie zużycia paliw, a tym samym na zmniejszenie zanieczyszczenia atmosfery;</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Niska świadomość ekologiczna mieszkańców;</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Spalanie odpadów komunalnych;</w:t>
      </w:r>
    </w:p>
    <w:p w:rsidR="00964A10" w:rsidRPr="00A52EF3" w:rsidRDefault="00964A10" w:rsidP="003A0F5B">
      <w:pPr>
        <w:pStyle w:val="Default"/>
        <w:widowControl w:val="0"/>
        <w:numPr>
          <w:ilvl w:val="0"/>
          <w:numId w:val="37"/>
        </w:numPr>
        <w:autoSpaceDE/>
        <w:autoSpaceDN/>
        <w:adjustRightInd/>
        <w:spacing w:after="200" w:line="276" w:lineRule="auto"/>
        <w:ind w:left="426"/>
        <w:jc w:val="both"/>
        <w:rPr>
          <w:color w:val="auto"/>
        </w:rPr>
      </w:pPr>
      <w:r w:rsidRPr="00A52EF3">
        <w:rPr>
          <w:color w:val="auto"/>
        </w:rPr>
        <w:t>Niski stopień wykorzystania odnawialnych źródeł energii;</w:t>
      </w:r>
    </w:p>
    <w:p w:rsidR="00964A10" w:rsidRPr="00A52EF3" w:rsidRDefault="00964A10" w:rsidP="00F25FCA">
      <w:pPr>
        <w:pStyle w:val="Default"/>
        <w:widowControl w:val="0"/>
        <w:autoSpaceDE/>
        <w:autoSpaceDN/>
        <w:adjustRightInd/>
        <w:spacing w:after="200" w:line="360" w:lineRule="auto"/>
        <w:ind w:left="720"/>
        <w:jc w:val="both"/>
        <w:rPr>
          <w:color w:val="auto"/>
        </w:rPr>
      </w:pPr>
    </w:p>
    <w:p w:rsidR="00964A10" w:rsidRPr="00A52EF3" w:rsidRDefault="00964A10" w:rsidP="00545ED4">
      <w:pPr>
        <w:pStyle w:val="Nagwek1"/>
        <w:numPr>
          <w:ilvl w:val="0"/>
          <w:numId w:val="86"/>
        </w:numPr>
        <w:spacing w:line="360" w:lineRule="auto"/>
        <w:jc w:val="both"/>
        <w:rPr>
          <w:rFonts w:ascii="Times New Roman" w:hAnsi="Times New Roman" w:cs="Times New Roman"/>
          <w:color w:val="auto"/>
        </w:rPr>
      </w:pPr>
      <w:bookmarkStart w:id="33" w:name="_Toc449097734"/>
      <w:bookmarkStart w:id="34" w:name="_Toc470764006"/>
      <w:r w:rsidRPr="00A52EF3">
        <w:rPr>
          <w:rFonts w:ascii="Times New Roman" w:hAnsi="Times New Roman" w:cs="Times New Roman"/>
          <w:color w:val="auto"/>
        </w:rPr>
        <w:lastRenderedPageBreak/>
        <w:t>Dotychczasowe działania Gminy Brody w zakresie efektywności energetycznej, gospodarki niskoemisyjnej oraz wykorzystania odnawialnych źródeł energii</w:t>
      </w:r>
      <w:bookmarkEnd w:id="33"/>
      <w:bookmarkEnd w:id="34"/>
    </w:p>
    <w:p w:rsidR="00964A10" w:rsidRPr="00A52EF3" w:rsidRDefault="00964A10" w:rsidP="00F25FCA">
      <w:pPr>
        <w:spacing w:line="360" w:lineRule="auto"/>
        <w:rPr>
          <w:rFonts w:ascii="Times New Roman" w:hAnsi="Times New Roman" w:cs="Times New Roman"/>
        </w:rPr>
      </w:pPr>
    </w:p>
    <w:p w:rsidR="00964A10" w:rsidRPr="00A52EF3" w:rsidRDefault="00964A10" w:rsidP="00545ED4">
      <w:pPr>
        <w:pStyle w:val="Default"/>
        <w:widowControl w:val="0"/>
        <w:numPr>
          <w:ilvl w:val="1"/>
          <w:numId w:val="86"/>
        </w:numPr>
        <w:spacing w:after="200" w:line="360" w:lineRule="auto"/>
        <w:jc w:val="both"/>
        <w:rPr>
          <w:rFonts w:eastAsia="Calibri"/>
          <w:color w:val="auto"/>
        </w:rPr>
      </w:pPr>
      <w:r w:rsidRPr="00A52EF3">
        <w:rPr>
          <w:rFonts w:eastAsia="Calibri"/>
          <w:b/>
          <w:bCs/>
          <w:color w:val="auto"/>
        </w:rPr>
        <w:t>Termomodernizacja</w:t>
      </w:r>
    </w:p>
    <w:p w:rsidR="00964A10" w:rsidRPr="00A52EF3" w:rsidRDefault="00964A10" w:rsidP="00F25FCA">
      <w:pPr>
        <w:pStyle w:val="Default"/>
        <w:widowControl w:val="0"/>
        <w:spacing w:after="200" w:line="360" w:lineRule="auto"/>
        <w:jc w:val="both"/>
        <w:rPr>
          <w:rFonts w:eastAsia="Calibri"/>
          <w:color w:val="auto"/>
        </w:rPr>
      </w:pPr>
      <w:r w:rsidRPr="00A52EF3">
        <w:rPr>
          <w:rFonts w:eastAsia="Calibri"/>
          <w:color w:val="auto"/>
        </w:rPr>
        <w:t>W 13 budynkach użyteczności publicznej wykonano termomodernizację, są to budynki:</w:t>
      </w:r>
    </w:p>
    <w:p w:rsidR="00964A10" w:rsidRPr="00A52EF3" w:rsidRDefault="00964A10" w:rsidP="00F25FCA">
      <w:pPr>
        <w:pStyle w:val="Default"/>
        <w:widowControl w:val="0"/>
        <w:numPr>
          <w:ilvl w:val="0"/>
          <w:numId w:val="38"/>
        </w:numPr>
        <w:tabs>
          <w:tab w:val="clear" w:pos="720"/>
          <w:tab w:val="num" w:pos="567"/>
        </w:tabs>
        <w:spacing w:after="200" w:line="360" w:lineRule="auto"/>
        <w:jc w:val="both"/>
        <w:rPr>
          <w:rFonts w:eastAsia="Calibri"/>
          <w:color w:val="auto"/>
        </w:rPr>
      </w:pPr>
      <w:r w:rsidRPr="00A52EF3">
        <w:rPr>
          <w:rFonts w:eastAsia="Calibri"/>
          <w:bCs/>
          <w:color w:val="auto"/>
        </w:rPr>
        <w:t>Ośrodek Zdrowia w Lubieni</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20.08.2007- 24.10.2007</w:t>
      </w:r>
    </w:p>
    <w:p w:rsidR="00964A10" w:rsidRPr="00A52EF3" w:rsidRDefault="00964A10" w:rsidP="004E3633">
      <w:pPr>
        <w:pStyle w:val="Default"/>
        <w:widowControl w:val="0"/>
        <w:numPr>
          <w:ilvl w:val="0"/>
          <w:numId w:val="39"/>
        </w:numPr>
        <w:spacing w:after="200" w:line="360" w:lineRule="auto"/>
        <w:jc w:val="both"/>
        <w:rPr>
          <w:rFonts w:eastAsia="Calibri"/>
          <w:color w:val="auto"/>
        </w:rPr>
      </w:pPr>
      <w:r w:rsidRPr="00A52EF3">
        <w:rPr>
          <w:rFonts w:eastAsia="Calibri"/>
          <w:bCs/>
          <w:color w:val="auto"/>
        </w:rPr>
        <w:t>Centrum Kultury i Aktywności Lokalnej w Brodach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20.08.2007- 24.10.2007</w:t>
      </w:r>
    </w:p>
    <w:p w:rsidR="00964A10" w:rsidRPr="00A52EF3" w:rsidRDefault="00964A10" w:rsidP="004E3633">
      <w:pPr>
        <w:pStyle w:val="Default"/>
        <w:widowControl w:val="0"/>
        <w:numPr>
          <w:ilvl w:val="0"/>
          <w:numId w:val="40"/>
        </w:numPr>
        <w:spacing w:after="200" w:line="360" w:lineRule="auto"/>
        <w:jc w:val="both"/>
        <w:rPr>
          <w:rFonts w:eastAsia="Calibri"/>
          <w:color w:val="auto"/>
        </w:rPr>
      </w:pPr>
      <w:r w:rsidRPr="00A52EF3">
        <w:rPr>
          <w:rFonts w:eastAsia="Calibri"/>
          <w:bCs/>
          <w:color w:val="auto"/>
        </w:rPr>
        <w:t>Szkoła Podstawowa w Stykowie</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20.08.2007- 24.10.2007</w:t>
      </w:r>
    </w:p>
    <w:p w:rsidR="00964A10" w:rsidRPr="00A52EF3" w:rsidRDefault="00964A10" w:rsidP="00F25FCA">
      <w:pPr>
        <w:pStyle w:val="Default"/>
        <w:widowControl w:val="0"/>
        <w:numPr>
          <w:ilvl w:val="0"/>
          <w:numId w:val="41"/>
        </w:numPr>
        <w:tabs>
          <w:tab w:val="clear" w:pos="720"/>
          <w:tab w:val="num" w:pos="567"/>
        </w:tabs>
        <w:spacing w:after="200" w:line="360" w:lineRule="auto"/>
        <w:jc w:val="both"/>
        <w:rPr>
          <w:rFonts w:eastAsia="Calibri"/>
          <w:color w:val="auto"/>
        </w:rPr>
      </w:pPr>
      <w:r w:rsidRPr="00A52EF3">
        <w:rPr>
          <w:rFonts w:eastAsia="Calibri"/>
          <w:bCs/>
          <w:color w:val="auto"/>
        </w:rPr>
        <w:t>Szkoła Podstawowa w Brodach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24.11.2007- 18.12.2007</w:t>
      </w:r>
    </w:p>
    <w:p w:rsidR="00964A10" w:rsidRPr="00A52EF3" w:rsidRDefault="00964A10" w:rsidP="00F25FCA">
      <w:pPr>
        <w:pStyle w:val="Default"/>
        <w:widowControl w:val="0"/>
        <w:tabs>
          <w:tab w:val="num" w:pos="567"/>
        </w:tabs>
        <w:spacing w:after="200" w:line="360" w:lineRule="auto"/>
        <w:ind w:left="720" w:hanging="360"/>
        <w:jc w:val="both"/>
        <w:rPr>
          <w:rFonts w:eastAsia="Calibri"/>
          <w:color w:val="auto"/>
        </w:rPr>
      </w:pPr>
      <w:r w:rsidRPr="00A52EF3">
        <w:rPr>
          <w:rFonts w:eastAsia="Calibri"/>
          <w:bCs/>
          <w:color w:val="auto"/>
        </w:rPr>
        <w:t>5. Szkoła Podstawowa w Lubieni</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24.11.2007- 18.12.2007</w:t>
      </w:r>
    </w:p>
    <w:p w:rsidR="00964A10" w:rsidRPr="00A52EF3" w:rsidRDefault="00964A10" w:rsidP="00F25FCA">
      <w:pPr>
        <w:pStyle w:val="Default"/>
        <w:widowControl w:val="0"/>
        <w:tabs>
          <w:tab w:val="num" w:pos="567"/>
        </w:tabs>
        <w:spacing w:after="200" w:line="360" w:lineRule="auto"/>
        <w:ind w:left="720" w:hanging="360"/>
        <w:jc w:val="both"/>
        <w:rPr>
          <w:rFonts w:eastAsia="Calibri"/>
          <w:color w:val="auto"/>
        </w:rPr>
      </w:pPr>
      <w:r w:rsidRPr="00A52EF3">
        <w:rPr>
          <w:rFonts w:eastAsia="Calibri"/>
          <w:bCs/>
          <w:color w:val="auto"/>
        </w:rPr>
        <w:t>6. Ochotnicza Straż Pożarna w Rudzie</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24.11.2007- 18.12.2007</w:t>
      </w:r>
    </w:p>
    <w:p w:rsidR="00964A10" w:rsidRPr="00A52EF3" w:rsidRDefault="00964A10" w:rsidP="00F25FCA">
      <w:pPr>
        <w:pStyle w:val="Default"/>
        <w:widowControl w:val="0"/>
        <w:tabs>
          <w:tab w:val="num" w:pos="567"/>
        </w:tabs>
        <w:spacing w:after="200" w:line="360" w:lineRule="auto"/>
        <w:ind w:left="720" w:hanging="360"/>
        <w:jc w:val="both"/>
        <w:rPr>
          <w:rFonts w:eastAsia="Calibri"/>
          <w:color w:val="auto"/>
        </w:rPr>
      </w:pPr>
      <w:r w:rsidRPr="00A52EF3">
        <w:rPr>
          <w:rFonts w:eastAsia="Calibri"/>
          <w:bCs/>
          <w:color w:val="auto"/>
        </w:rPr>
        <w:t>7. Ośrodek Zdrowia w Brodach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05.01.2008- 12.05.2008</w:t>
      </w:r>
    </w:p>
    <w:p w:rsidR="00964A10" w:rsidRPr="00A52EF3" w:rsidRDefault="00964A10" w:rsidP="00F25FCA">
      <w:pPr>
        <w:pStyle w:val="Default"/>
        <w:widowControl w:val="0"/>
        <w:tabs>
          <w:tab w:val="num" w:pos="567"/>
        </w:tabs>
        <w:spacing w:after="200" w:line="360" w:lineRule="auto"/>
        <w:ind w:left="720" w:hanging="360"/>
        <w:jc w:val="both"/>
        <w:rPr>
          <w:rFonts w:eastAsia="Calibri"/>
          <w:color w:val="auto"/>
        </w:rPr>
      </w:pPr>
      <w:r w:rsidRPr="00A52EF3">
        <w:rPr>
          <w:rFonts w:eastAsia="Calibri"/>
          <w:bCs/>
          <w:color w:val="auto"/>
        </w:rPr>
        <w:t>8. Klub Rolnika w Kuczowie</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05.01.2008- 12.05.2008</w:t>
      </w:r>
    </w:p>
    <w:p w:rsidR="00964A10" w:rsidRPr="00A52EF3" w:rsidRDefault="00964A10" w:rsidP="00F25FCA">
      <w:pPr>
        <w:pStyle w:val="Default"/>
        <w:widowControl w:val="0"/>
        <w:spacing w:after="200" w:line="360" w:lineRule="auto"/>
        <w:ind w:left="720" w:hanging="360"/>
        <w:jc w:val="both"/>
        <w:rPr>
          <w:rFonts w:eastAsia="Calibri"/>
          <w:color w:val="auto"/>
        </w:rPr>
      </w:pPr>
      <w:r w:rsidRPr="00A52EF3">
        <w:rPr>
          <w:rFonts w:eastAsia="Calibri"/>
          <w:bCs/>
          <w:color w:val="auto"/>
        </w:rPr>
        <w:t>9. Szkoła Podstawowa w Lipiu</w:t>
      </w:r>
      <w:r w:rsidR="00580B44" w:rsidRPr="00A52EF3">
        <w:rPr>
          <w:rFonts w:eastAsia="Calibri"/>
          <w:bCs/>
          <w:color w:val="auto"/>
        </w:rPr>
        <w:t>;</w:t>
      </w:r>
      <w:r w:rsidR="004E3633" w:rsidRPr="00A52EF3">
        <w:t xml:space="preserve"> </w:t>
      </w:r>
      <w:r w:rsidR="004E3633" w:rsidRPr="00A52EF3">
        <w:rPr>
          <w:rFonts w:eastAsia="Calibri"/>
          <w:bCs/>
          <w:color w:val="auto"/>
        </w:rPr>
        <w:t>05.01.2008- 12.05.2008</w:t>
      </w:r>
    </w:p>
    <w:p w:rsidR="00964A10" w:rsidRPr="00A52EF3" w:rsidRDefault="00964A10" w:rsidP="00F25FCA">
      <w:pPr>
        <w:pStyle w:val="Default"/>
        <w:widowControl w:val="0"/>
        <w:spacing w:after="200" w:line="360" w:lineRule="auto"/>
        <w:ind w:left="720" w:hanging="360"/>
        <w:jc w:val="both"/>
        <w:rPr>
          <w:rFonts w:eastAsia="Calibri"/>
          <w:color w:val="auto"/>
        </w:rPr>
      </w:pPr>
      <w:r w:rsidRPr="00A52EF3">
        <w:rPr>
          <w:rFonts w:eastAsia="Calibri"/>
          <w:bCs/>
          <w:color w:val="auto"/>
        </w:rPr>
        <w:t>10. Szkoła Podstawowa i Gimnazjum w Krynkach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05.01.2008- 12.05.2008</w:t>
      </w:r>
    </w:p>
    <w:p w:rsidR="00964A10" w:rsidRPr="00A52EF3" w:rsidRDefault="00964A10" w:rsidP="00F25FCA">
      <w:pPr>
        <w:pStyle w:val="Default"/>
        <w:widowControl w:val="0"/>
        <w:spacing w:after="200" w:line="360" w:lineRule="auto"/>
        <w:ind w:left="720" w:hanging="360"/>
        <w:jc w:val="both"/>
        <w:rPr>
          <w:rFonts w:eastAsia="Calibri"/>
          <w:color w:val="auto"/>
        </w:rPr>
      </w:pPr>
      <w:r w:rsidRPr="00A52EF3">
        <w:rPr>
          <w:rFonts w:eastAsia="Calibri"/>
          <w:bCs/>
          <w:color w:val="auto"/>
        </w:rPr>
        <w:t>11. Ochotnicza Straż Pożarna w Krynkach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12.05.2008- 30.09.2008</w:t>
      </w:r>
    </w:p>
    <w:p w:rsidR="00964A10" w:rsidRPr="00A52EF3" w:rsidRDefault="00964A10" w:rsidP="00F25FCA">
      <w:pPr>
        <w:pStyle w:val="Default"/>
        <w:widowControl w:val="0"/>
        <w:spacing w:after="200" w:line="360" w:lineRule="auto"/>
        <w:ind w:left="720" w:hanging="360"/>
        <w:jc w:val="both"/>
        <w:rPr>
          <w:rFonts w:eastAsia="Calibri"/>
          <w:color w:val="auto"/>
        </w:rPr>
      </w:pPr>
      <w:r w:rsidRPr="00A52EF3">
        <w:rPr>
          <w:rFonts w:eastAsia="Calibri"/>
          <w:bCs/>
          <w:color w:val="auto"/>
        </w:rPr>
        <w:t>12. Ochotnicza Straż Pożarna w Brodach</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 12.05.2008- 30.09.2008</w:t>
      </w:r>
    </w:p>
    <w:p w:rsidR="00964A10" w:rsidRPr="00A52EF3" w:rsidRDefault="00964A10" w:rsidP="00F25FCA">
      <w:pPr>
        <w:pStyle w:val="Default"/>
        <w:widowControl w:val="0"/>
        <w:spacing w:after="200" w:line="360" w:lineRule="auto"/>
        <w:ind w:left="720" w:hanging="360"/>
        <w:jc w:val="both"/>
        <w:rPr>
          <w:rFonts w:eastAsia="Calibri"/>
          <w:color w:val="auto"/>
        </w:rPr>
      </w:pPr>
      <w:r w:rsidRPr="00A52EF3">
        <w:rPr>
          <w:rFonts w:eastAsia="Calibri"/>
          <w:bCs/>
          <w:color w:val="auto"/>
        </w:rPr>
        <w:t>13. Ochotnicza Straż Pożarna w Stykowie</w:t>
      </w:r>
      <w:r w:rsidR="00580B44" w:rsidRPr="00A52EF3">
        <w:rPr>
          <w:rFonts w:eastAsia="Calibri"/>
          <w:bCs/>
          <w:color w:val="auto"/>
        </w:rPr>
        <w:t>.</w:t>
      </w:r>
      <w:r w:rsidR="00461ADE" w:rsidRPr="00A52EF3">
        <w:rPr>
          <w:rFonts w:eastAsia="Calibri"/>
          <w:bCs/>
          <w:color w:val="auto"/>
        </w:rPr>
        <w:t xml:space="preserve"> </w:t>
      </w:r>
      <w:r w:rsidR="004E3633" w:rsidRPr="00A52EF3">
        <w:rPr>
          <w:rFonts w:eastAsia="Calibri"/>
          <w:bCs/>
          <w:color w:val="auto"/>
        </w:rPr>
        <w:t>; 12.05.2008- 30.09.2008</w:t>
      </w:r>
    </w:p>
    <w:p w:rsidR="00964A10" w:rsidRPr="00A52EF3" w:rsidRDefault="00964A10" w:rsidP="00F25FCA">
      <w:pPr>
        <w:pStyle w:val="Default"/>
        <w:widowControl w:val="0"/>
        <w:spacing w:after="200" w:line="360" w:lineRule="auto"/>
        <w:jc w:val="both"/>
        <w:rPr>
          <w:rFonts w:eastAsia="Calibri"/>
          <w:color w:val="auto"/>
        </w:rPr>
      </w:pPr>
    </w:p>
    <w:p w:rsidR="003A0F5B" w:rsidRPr="00A52EF3" w:rsidRDefault="003A0F5B" w:rsidP="00F25FCA">
      <w:pPr>
        <w:pStyle w:val="Default"/>
        <w:widowControl w:val="0"/>
        <w:spacing w:after="200" w:line="360" w:lineRule="auto"/>
        <w:jc w:val="both"/>
        <w:rPr>
          <w:rFonts w:eastAsia="Calibri"/>
          <w:color w:val="auto"/>
        </w:rPr>
      </w:pPr>
    </w:p>
    <w:p w:rsidR="003A0F5B" w:rsidRPr="00A52EF3" w:rsidRDefault="003A0F5B" w:rsidP="00F25FCA">
      <w:pPr>
        <w:pStyle w:val="Default"/>
        <w:widowControl w:val="0"/>
        <w:spacing w:after="200" w:line="360" w:lineRule="auto"/>
        <w:jc w:val="both"/>
        <w:rPr>
          <w:rFonts w:eastAsia="Calibri"/>
          <w:color w:val="auto"/>
        </w:rPr>
      </w:pPr>
    </w:p>
    <w:p w:rsidR="00964A10" w:rsidRPr="00A52EF3" w:rsidRDefault="00964A10" w:rsidP="00F25FCA">
      <w:pPr>
        <w:pStyle w:val="Default"/>
        <w:widowControl w:val="0"/>
        <w:spacing w:after="200" w:line="360" w:lineRule="auto"/>
        <w:jc w:val="both"/>
        <w:rPr>
          <w:rFonts w:eastAsia="Calibri"/>
          <w:color w:val="auto"/>
        </w:rPr>
      </w:pPr>
      <w:r w:rsidRPr="00A52EF3">
        <w:rPr>
          <w:rFonts w:eastAsia="Calibri"/>
          <w:b/>
          <w:bCs/>
          <w:color w:val="auto"/>
        </w:rPr>
        <w:lastRenderedPageBreak/>
        <w:t xml:space="preserve">Drogi </w:t>
      </w:r>
    </w:p>
    <w:p w:rsidR="00964A10" w:rsidRPr="00A52EF3" w:rsidRDefault="00964A10" w:rsidP="00F25FCA">
      <w:pPr>
        <w:pStyle w:val="Default"/>
        <w:widowControl w:val="0"/>
        <w:spacing w:after="200" w:line="360" w:lineRule="auto"/>
        <w:jc w:val="both"/>
        <w:rPr>
          <w:rFonts w:eastAsia="Calibri"/>
          <w:color w:val="auto"/>
        </w:rPr>
      </w:pPr>
      <w:r w:rsidRPr="00A52EF3">
        <w:rPr>
          <w:rFonts w:eastAsia="Calibri"/>
          <w:color w:val="auto"/>
        </w:rPr>
        <w:t>W 2015 roku wykonano :</w:t>
      </w:r>
    </w:p>
    <w:p w:rsidR="00964A10" w:rsidRPr="00A52EF3" w:rsidRDefault="00964A10" w:rsidP="00F25FCA">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powiatowej nr 0620 T Lubienia- Przymiarki – Budy Brodzkie – Działki – Młynek” na odcinku Młynek – Budy Brodzkie – etap II -990 m</w:t>
      </w:r>
    </w:p>
    <w:p w:rsidR="00964A10" w:rsidRPr="00A52EF3" w:rsidRDefault="00964A10" w:rsidP="00F25FCA">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powiatowej nr 0620 T Lubienia- Przymiarki – Budy Brodzkie – Działki – Młynek” na odcinku Młynek – Budy Brodzkie – etap II rozszerzony-725 m</w:t>
      </w:r>
    </w:p>
    <w:p w:rsidR="00964A10" w:rsidRPr="00A52EF3" w:rsidRDefault="00964A10" w:rsidP="00F25FCA">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gminnej nr 313017 Adamów - Trojak od km 0+000 do km 1+097-1097m</w:t>
      </w:r>
    </w:p>
    <w:p w:rsidR="00964A10" w:rsidRPr="00A52EF3" w:rsidRDefault="00964A10" w:rsidP="00F25FCA">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dojazdowej do pól w miejscowości Styków- 361 m</w:t>
      </w:r>
    </w:p>
    <w:p w:rsidR="00964A10" w:rsidRPr="00A52EF3" w:rsidRDefault="00964A10" w:rsidP="00F25FCA">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dojazdowej do pól w miejscowości Krynki-594 m</w:t>
      </w:r>
    </w:p>
    <w:p w:rsidR="008F14EE" w:rsidRPr="00A52EF3" w:rsidRDefault="00964A10" w:rsidP="00545ED4">
      <w:pPr>
        <w:pStyle w:val="Default"/>
        <w:widowControl w:val="0"/>
        <w:numPr>
          <w:ilvl w:val="0"/>
          <w:numId w:val="42"/>
        </w:numPr>
        <w:spacing w:after="200" w:line="360" w:lineRule="auto"/>
        <w:jc w:val="both"/>
        <w:rPr>
          <w:rFonts w:eastAsia="Calibri"/>
          <w:color w:val="auto"/>
        </w:rPr>
      </w:pPr>
      <w:r w:rsidRPr="00A52EF3">
        <w:rPr>
          <w:rFonts w:eastAsia="Calibri"/>
          <w:bCs/>
          <w:color w:val="auto"/>
        </w:rPr>
        <w:t>Przebudowa drogi gminnej nr 313023 T Brody – Tatry – etap I – 250 m</w:t>
      </w:r>
    </w:p>
    <w:p w:rsidR="00545ED4" w:rsidRPr="00A52EF3" w:rsidRDefault="00545ED4" w:rsidP="00545ED4">
      <w:pPr>
        <w:pStyle w:val="Default"/>
        <w:widowControl w:val="0"/>
        <w:spacing w:after="200" w:line="360" w:lineRule="auto"/>
        <w:ind w:left="720"/>
        <w:jc w:val="both"/>
        <w:rPr>
          <w:rFonts w:eastAsia="Calibri"/>
          <w:color w:val="auto"/>
        </w:rPr>
      </w:pPr>
    </w:p>
    <w:p w:rsidR="00580B44" w:rsidRPr="00A52EF3" w:rsidRDefault="00270FA8" w:rsidP="00545ED4">
      <w:pPr>
        <w:pStyle w:val="Nagwek1"/>
        <w:numPr>
          <w:ilvl w:val="0"/>
          <w:numId w:val="86"/>
        </w:numPr>
        <w:spacing w:after="240" w:line="360" w:lineRule="auto"/>
        <w:rPr>
          <w:rFonts w:ascii="Times New Roman" w:hAnsi="Times New Roman" w:cs="Times New Roman"/>
          <w:color w:val="auto"/>
        </w:rPr>
      </w:pPr>
      <w:bookmarkStart w:id="35" w:name="_Toc470764007"/>
      <w:r w:rsidRPr="00A52EF3">
        <w:rPr>
          <w:rFonts w:ascii="Times New Roman" w:hAnsi="Times New Roman" w:cs="Times New Roman"/>
          <w:color w:val="auto"/>
        </w:rPr>
        <w:t>Stan środowiska na terenie Gminy Brody</w:t>
      </w:r>
      <w:bookmarkEnd w:id="35"/>
    </w:p>
    <w:p w:rsidR="00270FA8" w:rsidRPr="00A52EF3" w:rsidRDefault="00270FA8" w:rsidP="00545ED4">
      <w:pPr>
        <w:pStyle w:val="Nagwek2"/>
        <w:numPr>
          <w:ilvl w:val="1"/>
          <w:numId w:val="86"/>
        </w:numPr>
        <w:spacing w:after="240" w:line="360" w:lineRule="auto"/>
        <w:rPr>
          <w:rFonts w:ascii="Times New Roman" w:hAnsi="Times New Roman" w:cs="Times New Roman"/>
          <w:color w:val="auto"/>
        </w:rPr>
      </w:pPr>
      <w:bookmarkStart w:id="36" w:name="_Toc470764008"/>
      <w:r w:rsidRPr="00A52EF3">
        <w:rPr>
          <w:rFonts w:ascii="Times New Roman" w:hAnsi="Times New Roman" w:cs="Times New Roman"/>
          <w:color w:val="auto"/>
        </w:rPr>
        <w:t>Główne zanieczyszczenia atmosferyczne</w:t>
      </w:r>
      <w:bookmarkEnd w:id="36"/>
    </w:p>
    <w:p w:rsidR="00270FA8" w:rsidRPr="00A52EF3" w:rsidRDefault="00270FA8" w:rsidP="00F25FCA">
      <w:pPr>
        <w:spacing w:after="0" w:line="360" w:lineRule="auto"/>
        <w:ind w:firstLine="708"/>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Poddawane ocenie dotrzymania w danym roku poziomy kryterialne zostały zdefiniowane w Dyrektywie 2008/50/WE: </w:t>
      </w:r>
    </w:p>
    <w:p w:rsidR="00270FA8" w:rsidRPr="00A52EF3" w:rsidRDefault="00270FA8" w:rsidP="00F25FCA">
      <w:pPr>
        <w:spacing w:after="0" w:line="360" w:lineRule="auto"/>
        <w:ind w:firstLine="708"/>
        <w:jc w:val="both"/>
        <w:rPr>
          <w:rFonts w:ascii="Times New Roman" w:eastAsia="Calibri" w:hAnsi="Times New Roman" w:cs="Times New Roman"/>
          <w:sz w:val="24"/>
          <w:szCs w:val="24"/>
        </w:rPr>
      </w:pPr>
    </w:p>
    <w:p w:rsidR="00270FA8" w:rsidRPr="00A52EF3" w:rsidRDefault="00270FA8" w:rsidP="00F25FCA">
      <w:pPr>
        <w:spacing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sz w:val="24"/>
          <w:szCs w:val="24"/>
        </w:rPr>
        <w:t>Poziom dopuszczalny</w:t>
      </w:r>
      <w:r w:rsidRPr="00A52EF3">
        <w:rPr>
          <w:rFonts w:ascii="Times New Roman" w:eastAsia="Calibri" w:hAnsi="Times New Roman" w:cs="Times New Roman"/>
          <w:sz w:val="24"/>
          <w:szCs w:val="24"/>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rsidR="00270FA8" w:rsidRPr="00A52EF3" w:rsidRDefault="00270FA8" w:rsidP="00F25FCA">
      <w:pPr>
        <w:spacing w:after="0" w:line="360" w:lineRule="auto"/>
        <w:jc w:val="both"/>
        <w:rPr>
          <w:rFonts w:ascii="Times New Roman" w:eastAsia="Calibri" w:hAnsi="Times New Roman" w:cs="Times New Roman"/>
        </w:rPr>
      </w:pPr>
    </w:p>
    <w:p w:rsidR="008F14EE" w:rsidRPr="00A52EF3" w:rsidRDefault="008F14EE" w:rsidP="00F25FCA">
      <w:pPr>
        <w:spacing w:after="0" w:line="360" w:lineRule="auto"/>
        <w:jc w:val="both"/>
        <w:rPr>
          <w:rFonts w:ascii="Times New Roman" w:eastAsia="Calibri" w:hAnsi="Times New Roman" w:cs="Times New Roman"/>
        </w:rPr>
      </w:pPr>
    </w:p>
    <w:p w:rsidR="00270FA8" w:rsidRPr="00A52EF3" w:rsidRDefault="00270FA8" w:rsidP="00F25FCA">
      <w:pPr>
        <w:spacing w:after="0" w:line="360" w:lineRule="auto"/>
        <w:jc w:val="both"/>
        <w:rPr>
          <w:rFonts w:ascii="Times New Roman" w:eastAsia="Calibri" w:hAnsi="Times New Roman" w:cs="Times New Roman"/>
        </w:rPr>
      </w:pPr>
      <w:r w:rsidRPr="00A52EF3">
        <w:rPr>
          <w:rFonts w:ascii="Times New Roman" w:eastAsia="Calibri" w:hAnsi="Times New Roman" w:cs="Times New Roman"/>
          <w:b/>
          <w:sz w:val="24"/>
          <w:szCs w:val="24"/>
        </w:rPr>
        <w:lastRenderedPageBreak/>
        <w:t>Margines tolerancji</w:t>
      </w:r>
      <w:r w:rsidRPr="00A52EF3">
        <w:rPr>
          <w:rFonts w:ascii="Times New Roman" w:eastAsia="Calibri" w:hAnsi="Times New Roman" w:cs="Times New Roman"/>
          <w:sz w:val="24"/>
          <w:szCs w:val="24"/>
        </w:rPr>
        <w:t xml:space="preserve"> – oznacza procentowo określoną część poziomu dopuszczalnego, </w:t>
      </w:r>
      <w:r w:rsidRPr="00A52EF3">
        <w:rPr>
          <w:rFonts w:ascii="Times New Roman" w:eastAsia="Calibri" w:hAnsi="Times New Roman" w:cs="Times New Roman"/>
          <w:sz w:val="24"/>
          <w:szCs w:val="24"/>
        </w:rPr>
        <w:br/>
        <w:t xml:space="preserve">o którą poziom ten może zostać przekroczony, zgodnie z warunkami ustanowionymi </w:t>
      </w:r>
      <w:r w:rsidRPr="00A52EF3">
        <w:rPr>
          <w:rFonts w:ascii="Times New Roman" w:eastAsia="Calibri" w:hAnsi="Times New Roman" w:cs="Times New Roman"/>
          <w:sz w:val="24"/>
          <w:szCs w:val="24"/>
        </w:rPr>
        <w:br/>
        <w:t xml:space="preserve">w Dyrektywie 2008/50/WE. Wartość marginesu tolerancji jest (lub była) stopniowo (corocznie) redukowana, aż do czasu przyjętego jako data wymaganego osiągnięcia stężeń nie wyższych od poziomu dopuszczalnego. Wprowadzenie marginesu tolerancji miało na celu okresowe podniesienie poziomu stężeń, powyżej którego kraje mają obowiązek przygotowywania programów ochrony powietrza. Stworzyło także możliwość uniknięcia kosztownego i czasochłonnego opracowywania POP dla obszarów gdzie, w wyniku działań podjętych wcześniej lub aktualnie prowadzonych, możliwe jest obniżenie stężeń </w:t>
      </w:r>
      <w:r w:rsidRPr="00A52EF3">
        <w:rPr>
          <w:rFonts w:ascii="Times New Roman" w:eastAsia="Calibri" w:hAnsi="Times New Roman" w:cs="Times New Roman"/>
          <w:sz w:val="24"/>
          <w:szCs w:val="24"/>
        </w:rPr>
        <w:br/>
        <w:t xml:space="preserve">do wymaganego poziomu w przyjętym terminie. Poziom dopuszczalny powiększony </w:t>
      </w:r>
      <w:r w:rsidRPr="00A52EF3">
        <w:rPr>
          <w:rFonts w:ascii="Times New Roman" w:eastAsia="Calibri" w:hAnsi="Times New Roman" w:cs="Times New Roman"/>
          <w:sz w:val="24"/>
          <w:szCs w:val="24"/>
        </w:rPr>
        <w:br/>
        <w:t xml:space="preserve">o margines tolerancji nie może być interpretowany jako poziom dopuszczalny obowiązujący w okresie przejściowym (zanim margines tolerancji osiągnie wartość zero). Jest to jedynie kryterium dla podejmowania niektórych działań w okresie przejściowym, przed wyznaczonym terminem osiągnięcia stężeń nie wyższych od poziomu dopuszczalnego. Obecnie jedynym zanieczyszczeniem, dla którego w rocznej ocenie jakości powietrza uwzględnia się wartość marginesu tolerancji jest pył PM2,5. Dla pozostałych zanieczyszczeń wartość marginesu tolerancji osiągnęła już poziom zerowy i podstawowym kryterium </w:t>
      </w:r>
      <w:r w:rsidRPr="00A52EF3">
        <w:rPr>
          <w:rFonts w:ascii="Times New Roman" w:eastAsia="Calibri" w:hAnsi="Times New Roman" w:cs="Times New Roman"/>
          <w:sz w:val="24"/>
          <w:szCs w:val="24"/>
        </w:rPr>
        <w:br/>
        <w:t>do oceny i klasyfikacji stref jest dla nich jedynie poziom dopuszczalny.</w:t>
      </w:r>
    </w:p>
    <w:p w:rsidR="00270FA8" w:rsidRPr="00A52EF3" w:rsidRDefault="00270FA8" w:rsidP="00F25FCA">
      <w:pPr>
        <w:spacing w:after="0" w:line="360" w:lineRule="auto"/>
        <w:jc w:val="center"/>
        <w:rPr>
          <w:rFonts w:ascii="Times New Roman" w:eastAsia="Calibri" w:hAnsi="Times New Roman" w:cs="Times New Roman"/>
          <w:b/>
          <w:sz w:val="24"/>
          <w:szCs w:val="24"/>
        </w:rPr>
      </w:pPr>
    </w:p>
    <w:p w:rsidR="00270FA8" w:rsidRPr="00A52EF3" w:rsidRDefault="00270FA8" w:rsidP="00F25FCA">
      <w:pPr>
        <w:spacing w:after="0" w:line="360" w:lineRule="auto"/>
        <w:rPr>
          <w:rFonts w:ascii="Times New Roman" w:eastAsia="Calibri" w:hAnsi="Times New Roman" w:cs="Times New Roman"/>
          <w:b/>
          <w:sz w:val="24"/>
          <w:szCs w:val="24"/>
        </w:rPr>
      </w:pPr>
    </w:p>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 xml:space="preserve">ROZPORZĄDZENIE MINISTRA ŚRODOWISKA z dnia 24 sierpnia 2012 r. </w:t>
      </w:r>
      <w:r w:rsidRPr="00A52EF3">
        <w:rPr>
          <w:rFonts w:ascii="Times New Roman" w:eastAsia="Calibri" w:hAnsi="Times New Roman" w:cs="Times New Roman"/>
          <w:b/>
          <w:sz w:val="24"/>
          <w:szCs w:val="24"/>
        </w:rPr>
        <w:br/>
        <w:t>w sprawie poziomów niektórych substancji w powietrzu</w:t>
      </w:r>
    </w:p>
    <w:p w:rsidR="00270FA8" w:rsidRPr="00A52EF3" w:rsidRDefault="00270FA8" w:rsidP="00F25FCA">
      <w:pPr>
        <w:spacing w:after="0" w:line="360" w:lineRule="auto"/>
        <w:ind w:firstLine="708"/>
        <w:jc w:val="both"/>
        <w:rPr>
          <w:rFonts w:ascii="Times New Roman" w:eastAsia="Calibri" w:hAnsi="Times New Roman" w:cs="Times New Roman"/>
          <w:szCs w:val="24"/>
        </w:rPr>
      </w:pP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Rozporządzenie określa między innymi:</w:t>
      </w: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1) poziomy dopuszczalne dla niektórych substancji w powietrzu, zróżnicowane ze względu na ochronę zdrowia ludzi oraz ochronę roślin; </w:t>
      </w: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2) poziomy docelowe dla niektórych substancji w powietrzu, zróżnicowane ze względu na ochronę zdrowia ludzi oraz ochronę roślin; </w:t>
      </w: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3) poziomy celów długoterminowych dla niektórych substancji w powietrzu, zróżnicowane ze względu na ochronę zdrowia ludzi oraz ochronę roślin; </w:t>
      </w: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4) okresy, dla których uśrednia się wyniki pomiarów; </w:t>
      </w:r>
    </w:p>
    <w:p w:rsidR="00270FA8" w:rsidRPr="00A52EF3" w:rsidRDefault="00270FA8" w:rsidP="00F25FCA">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 xml:space="preserve">5) dopuszczalną częstość przekraczania poziomów, o których mowa w pkt 1 i 2; </w:t>
      </w:r>
    </w:p>
    <w:p w:rsidR="00270FA8" w:rsidRPr="00A52EF3" w:rsidRDefault="00270FA8" w:rsidP="003A0F5B">
      <w:pPr>
        <w:spacing w:after="0"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6) marginesy tolerancji dla niektórych poziomów dopuszczalnych, wyrażone jako malejąca wartość procentowa w stosunku do dopuszczalnego poziomu substancji </w:t>
      </w:r>
      <w:r w:rsidRPr="00A52EF3">
        <w:rPr>
          <w:rFonts w:ascii="Times New Roman" w:eastAsia="Calibri" w:hAnsi="Times New Roman" w:cs="Times New Roman"/>
          <w:sz w:val="24"/>
        </w:rPr>
        <w:br/>
        <w:t xml:space="preserve">w powietrzu w kolejnych latach. </w:t>
      </w:r>
    </w:p>
    <w:p w:rsidR="00AE756A" w:rsidRPr="00A52EF3" w:rsidRDefault="00AE756A" w:rsidP="003A0F5B">
      <w:pPr>
        <w:spacing w:after="0" w:line="360" w:lineRule="auto"/>
        <w:ind w:firstLine="708"/>
        <w:jc w:val="both"/>
        <w:rPr>
          <w:rFonts w:ascii="Times New Roman" w:eastAsia="Calibri" w:hAnsi="Times New Roman" w:cs="Times New Roman"/>
          <w:sz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CC547F" w:rsidRPr="00A52EF3" w:rsidTr="003B0E10">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SO</w:t>
            </w:r>
            <w:r w:rsidRPr="00A52EF3">
              <w:rPr>
                <w:rFonts w:ascii="Times New Roman" w:eastAsia="Calibri" w:hAnsi="Times New Roman" w:cs="Times New Roman"/>
                <w:b/>
                <w:sz w:val="24"/>
                <w:szCs w:val="24"/>
                <w:vertAlign w:val="subscript"/>
              </w:rPr>
              <w:t>2</w:t>
            </w:r>
            <w:r w:rsidRPr="00A52EF3">
              <w:rPr>
                <w:rFonts w:ascii="Times New Roman" w:eastAsia="Calibri" w:hAnsi="Times New Roman" w:cs="Times New Roman"/>
                <w:b/>
                <w:sz w:val="24"/>
                <w:szCs w:val="24"/>
              </w:rPr>
              <w:t xml:space="preserve"> 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przekroczenia dopuszczalnego poziomu w roku kalendarzowym</w:t>
            </w:r>
          </w:p>
        </w:tc>
      </w:tr>
      <w:tr w:rsidR="00CC547F"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jedna godzina</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350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24 razy</w:t>
            </w:r>
          </w:p>
        </w:tc>
      </w:tr>
      <w:tr w:rsidR="00DD1F74"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24 godziny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125</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3 razy</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AE756A" w:rsidRPr="00A52EF3" w:rsidRDefault="00AE756A" w:rsidP="00F25FCA">
      <w:pPr>
        <w:spacing w:after="0" w:line="360" w:lineRule="auto"/>
        <w:rPr>
          <w:rFonts w:ascii="Times New Roman" w:eastAsia="Calibri"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CC547F" w:rsidRPr="00A52EF3" w:rsidTr="003B0E10">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NO</w:t>
            </w:r>
            <w:r w:rsidRPr="00A52EF3">
              <w:rPr>
                <w:rFonts w:ascii="Times New Roman" w:eastAsia="Calibri" w:hAnsi="Times New Roman" w:cs="Times New Roman"/>
                <w:b/>
                <w:sz w:val="24"/>
                <w:szCs w:val="24"/>
                <w:vertAlign w:val="subscript"/>
              </w:rPr>
              <w:t>2</w:t>
            </w:r>
            <w:r w:rsidRPr="00A52EF3">
              <w:rPr>
                <w:rFonts w:ascii="Times New Roman" w:eastAsia="Calibri" w:hAnsi="Times New Roman" w:cs="Times New Roman"/>
                <w:b/>
                <w:sz w:val="24"/>
                <w:szCs w:val="24"/>
              </w:rPr>
              <w:t xml:space="preserve"> 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przekroczenia dopuszczalnego poziomu w roku kalendarzowym</w:t>
            </w:r>
          </w:p>
        </w:tc>
      </w:tr>
      <w:tr w:rsidR="00CC547F"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jedna godzina</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200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18 razy</w:t>
            </w:r>
          </w:p>
        </w:tc>
      </w:tr>
      <w:tr w:rsidR="00DD1F74"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AE756A" w:rsidRPr="00A52EF3" w:rsidRDefault="00AE756A" w:rsidP="00F25FCA">
      <w:pPr>
        <w:spacing w:after="0" w:line="360" w:lineRule="auto"/>
        <w:rPr>
          <w:rFonts w:ascii="Times New Roman" w:eastAsia="Calibri" w:hAnsi="Times New Roman" w:cs="Times New Roman"/>
          <w:sz w:val="24"/>
          <w:szCs w:val="24"/>
        </w:rPr>
      </w:pPr>
    </w:p>
    <w:tbl>
      <w:tblPr>
        <w:tblStyle w:val="Tabela-Siatka"/>
        <w:tblW w:w="0" w:type="auto"/>
        <w:tblLook w:val="04A0" w:firstRow="1" w:lastRow="0" w:firstColumn="1" w:lastColumn="0" w:noHBand="0" w:noVBand="1"/>
      </w:tblPr>
      <w:tblGrid>
        <w:gridCol w:w="2660"/>
        <w:gridCol w:w="2693"/>
        <w:gridCol w:w="3859"/>
      </w:tblGrid>
      <w:tr w:rsidR="00CC547F" w:rsidRPr="00A52EF3" w:rsidTr="00881557">
        <w:tc>
          <w:tcPr>
            <w:tcW w:w="2660" w:type="dxa"/>
            <w:vAlign w:val="center"/>
          </w:tcPr>
          <w:p w:rsidR="00270FA8" w:rsidRPr="00A52EF3" w:rsidRDefault="00270FA8"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2693" w:type="dxa"/>
            <w:vAlign w:val="center"/>
          </w:tcPr>
          <w:p w:rsidR="00270FA8" w:rsidRPr="00A52EF3" w:rsidRDefault="00270FA8"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p>
          <w:p w:rsidR="00270FA8" w:rsidRPr="00A52EF3" w:rsidRDefault="00270FA8"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CO w powietrzu</w:t>
            </w:r>
          </w:p>
          <w:p w:rsidR="00270FA8" w:rsidRPr="00A52EF3" w:rsidRDefault="00270FA8"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859" w:type="dxa"/>
            <w:vAlign w:val="center"/>
          </w:tcPr>
          <w:p w:rsidR="00270FA8" w:rsidRPr="00A52EF3" w:rsidRDefault="00270FA8"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w:t>
            </w:r>
            <w:r w:rsidR="00881557" w:rsidRPr="00A52EF3">
              <w:rPr>
                <w:rFonts w:ascii="Times New Roman" w:eastAsia="Calibri" w:hAnsi="Times New Roman" w:cs="Times New Roman"/>
                <w:b/>
                <w:sz w:val="24"/>
                <w:szCs w:val="24"/>
              </w:rPr>
              <w:t xml:space="preserve">a dopuszczalnego poziomu w roku </w:t>
            </w:r>
            <w:r w:rsidRPr="00A52EF3">
              <w:rPr>
                <w:rFonts w:ascii="Times New Roman" w:eastAsia="Calibri" w:hAnsi="Times New Roman" w:cs="Times New Roman"/>
                <w:b/>
                <w:sz w:val="24"/>
                <w:szCs w:val="24"/>
              </w:rPr>
              <w:t>kalendarzowym</w:t>
            </w:r>
          </w:p>
        </w:tc>
      </w:tr>
      <w:tr w:rsidR="00DD1F74" w:rsidRPr="00A52EF3" w:rsidTr="00881557">
        <w:tc>
          <w:tcPr>
            <w:tcW w:w="2660" w:type="dxa"/>
            <w:vAlign w:val="center"/>
          </w:tcPr>
          <w:p w:rsidR="00270FA8" w:rsidRPr="00A52EF3" w:rsidRDefault="00270FA8"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osiem godzin</w:t>
            </w:r>
          </w:p>
        </w:tc>
        <w:tc>
          <w:tcPr>
            <w:tcW w:w="2693" w:type="dxa"/>
            <w:vAlign w:val="center"/>
          </w:tcPr>
          <w:p w:rsidR="00270FA8" w:rsidRPr="00A52EF3" w:rsidRDefault="00270FA8"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10 000</w:t>
            </w:r>
          </w:p>
        </w:tc>
        <w:tc>
          <w:tcPr>
            <w:tcW w:w="3859" w:type="dxa"/>
            <w:vAlign w:val="center"/>
          </w:tcPr>
          <w:p w:rsidR="00270FA8" w:rsidRPr="00A52EF3" w:rsidRDefault="00270FA8"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AE756A" w:rsidRPr="00A52EF3" w:rsidRDefault="00AE756A" w:rsidP="00F25FCA">
      <w:pPr>
        <w:spacing w:after="0" w:line="360" w:lineRule="auto"/>
        <w:rPr>
          <w:rFonts w:ascii="Times New Roman" w:eastAsia="Calibri" w:hAnsi="Times New Roman" w:cs="Times New Roman"/>
          <w:sz w:val="24"/>
          <w:szCs w:val="24"/>
        </w:rPr>
      </w:pPr>
    </w:p>
    <w:tbl>
      <w:tblPr>
        <w:tblStyle w:val="Tabela-Siatka1"/>
        <w:tblW w:w="0" w:type="auto"/>
        <w:tblLook w:val="04A0" w:firstRow="1" w:lastRow="0" w:firstColumn="1" w:lastColumn="0" w:noHBand="0" w:noVBand="1"/>
      </w:tblPr>
      <w:tblGrid>
        <w:gridCol w:w="2518"/>
        <w:gridCol w:w="2835"/>
        <w:gridCol w:w="3859"/>
      </w:tblGrid>
      <w:tr w:rsidR="00CC547F" w:rsidRPr="00A52EF3" w:rsidTr="00881557">
        <w:tc>
          <w:tcPr>
            <w:tcW w:w="2518" w:type="dxa"/>
            <w:vAlign w:val="center"/>
          </w:tcPr>
          <w:p w:rsidR="00270FA8" w:rsidRPr="00A52EF3" w:rsidRDefault="00270FA8" w:rsidP="00881557">
            <w:pPr>
              <w:spacing w:after="20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2835" w:type="dxa"/>
            <w:vAlign w:val="center"/>
          </w:tcPr>
          <w:p w:rsidR="00270FA8" w:rsidRPr="00A52EF3" w:rsidRDefault="00270FA8" w:rsidP="00881557">
            <w:pPr>
              <w:spacing w:after="20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r w:rsidR="00881557" w:rsidRPr="00A52EF3">
              <w:rPr>
                <w:rFonts w:ascii="Times New Roman" w:eastAsia="Calibri" w:hAnsi="Times New Roman" w:cs="Times New Roman"/>
                <w:b/>
                <w:sz w:val="24"/>
                <w:szCs w:val="24"/>
              </w:rPr>
              <w:t xml:space="preserve"> </w:t>
            </w:r>
            <w:r w:rsidRPr="00A52EF3">
              <w:rPr>
                <w:rFonts w:ascii="Times New Roman" w:eastAsia="Calibri" w:hAnsi="Times New Roman" w:cs="Times New Roman"/>
                <w:b/>
                <w:sz w:val="24"/>
                <w:szCs w:val="24"/>
              </w:rPr>
              <w:t>benzenu w powietrzu</w:t>
            </w:r>
            <w:r w:rsidR="00881557" w:rsidRPr="00A52EF3">
              <w:rPr>
                <w:rFonts w:ascii="Times New Roman" w:eastAsia="Calibri" w:hAnsi="Times New Roman" w:cs="Times New Roman"/>
                <w:b/>
                <w:sz w:val="24"/>
                <w:szCs w:val="24"/>
              </w:rPr>
              <w:t xml:space="preserve"> </w:t>
            </w: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859" w:type="dxa"/>
            <w:vAlign w:val="center"/>
          </w:tcPr>
          <w:p w:rsidR="00270FA8" w:rsidRPr="00A52EF3" w:rsidRDefault="00270FA8" w:rsidP="00881557">
            <w:pPr>
              <w:spacing w:after="20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przekroczenia dopuszczalnego poziomu w roku kalendarzowym</w:t>
            </w:r>
          </w:p>
        </w:tc>
      </w:tr>
      <w:tr w:rsidR="00DD1F74" w:rsidRPr="00A52EF3" w:rsidTr="00881557">
        <w:tc>
          <w:tcPr>
            <w:tcW w:w="2518" w:type="dxa"/>
            <w:vAlign w:val="center"/>
          </w:tcPr>
          <w:p w:rsidR="00270FA8" w:rsidRPr="00A52EF3" w:rsidRDefault="00270FA8" w:rsidP="00881557">
            <w:pPr>
              <w:spacing w:after="20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2835" w:type="dxa"/>
            <w:vAlign w:val="center"/>
          </w:tcPr>
          <w:p w:rsidR="00270FA8" w:rsidRPr="00A52EF3" w:rsidRDefault="00270FA8" w:rsidP="00881557">
            <w:pPr>
              <w:spacing w:after="20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5</w:t>
            </w:r>
          </w:p>
        </w:tc>
        <w:tc>
          <w:tcPr>
            <w:tcW w:w="3859" w:type="dxa"/>
            <w:vAlign w:val="center"/>
          </w:tcPr>
          <w:p w:rsidR="00270FA8" w:rsidRPr="00A52EF3" w:rsidRDefault="00270FA8" w:rsidP="00881557">
            <w:pPr>
              <w:spacing w:after="20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w:t>
            </w:r>
          </w:p>
        </w:tc>
      </w:tr>
    </w:tbl>
    <w:p w:rsidR="008F14EE" w:rsidRPr="00A52EF3" w:rsidRDefault="008F14EE" w:rsidP="00F25FCA">
      <w:pPr>
        <w:spacing w:after="0" w:line="360" w:lineRule="auto"/>
        <w:rPr>
          <w:rFonts w:ascii="Times New Roman" w:eastAsia="Calibri"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660"/>
        <w:gridCol w:w="2693"/>
        <w:gridCol w:w="3859"/>
      </w:tblGrid>
      <w:tr w:rsidR="00CC547F" w:rsidRPr="00A52EF3" w:rsidTr="003B0E10">
        <w:tc>
          <w:tcPr>
            <w:tcW w:w="2660"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2693"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p>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PM 10 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859"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przekroczenia dopuszczalnego poziomu w roku kalendarzowym</w:t>
            </w:r>
          </w:p>
        </w:tc>
      </w:tr>
      <w:tr w:rsidR="00CC547F"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w:t>
            </w:r>
          </w:p>
        </w:tc>
      </w:tr>
      <w:tr w:rsidR="00DD1F74" w:rsidRPr="00A52EF3" w:rsidTr="003B0E10">
        <w:tc>
          <w:tcPr>
            <w:tcW w:w="266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24 godziny</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50</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35 razy</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8F14EE" w:rsidRPr="00A52EF3" w:rsidRDefault="008F14EE" w:rsidP="00F25FCA">
      <w:pPr>
        <w:spacing w:after="0" w:line="360" w:lineRule="auto"/>
        <w:rPr>
          <w:rFonts w:ascii="Times New Roman" w:eastAsia="Calibri" w:hAnsi="Times New Roman" w:cs="Times New Roman"/>
          <w:sz w:val="24"/>
          <w:szCs w:val="24"/>
        </w:rPr>
      </w:pPr>
    </w:p>
    <w:tbl>
      <w:tblPr>
        <w:tblW w:w="5000" w:type="pct"/>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4398"/>
        <w:gridCol w:w="812"/>
        <w:gridCol w:w="817"/>
        <w:gridCol w:w="812"/>
        <w:gridCol w:w="817"/>
        <w:gridCol w:w="812"/>
        <w:gridCol w:w="810"/>
      </w:tblGrid>
      <w:tr w:rsidR="00DD1F74" w:rsidRPr="00A52EF3" w:rsidTr="00270FA8">
        <w:tc>
          <w:tcPr>
            <w:tcW w:w="4398" w:type="dxa"/>
            <w:vMerge w:val="restart"/>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 xml:space="preserve">Poziom dopuszczalny PM2.5 </w:t>
            </w:r>
            <w:r w:rsidRPr="00A52EF3">
              <w:rPr>
                <w:rFonts w:ascii="Times New Roman" w:eastAsia="Calibri" w:hAnsi="Times New Roman" w:cs="Times New Roman"/>
                <w:b/>
                <w:sz w:val="24"/>
                <w:szCs w:val="24"/>
              </w:rPr>
              <w:br/>
              <w:t>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4880"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Poziom dopuszczalny PM 2,5 w powietrzu wraz z marginesem tolerancji [µg/m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r>
      <w:tr w:rsidR="00CC547F" w:rsidRPr="00A52EF3" w:rsidTr="00270FA8">
        <w:tc>
          <w:tcPr>
            <w:tcW w:w="4398" w:type="dxa"/>
            <w:vMerge/>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line="360" w:lineRule="auto"/>
              <w:rPr>
                <w:rFonts w:ascii="Times New Roman" w:eastAsia="Calibri" w:hAnsi="Times New Roman" w:cs="Times New Roman"/>
                <w:sz w:val="24"/>
                <w:szCs w:val="24"/>
              </w:rPr>
            </w:pPr>
          </w:p>
        </w:tc>
        <w:tc>
          <w:tcPr>
            <w:tcW w:w="812" w:type="dxa"/>
            <w:tcBorders>
              <w:top w:val="single" w:sz="12"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2010</w:t>
            </w:r>
          </w:p>
        </w:tc>
        <w:tc>
          <w:tcPr>
            <w:tcW w:w="817" w:type="dxa"/>
            <w:tcBorders>
              <w:top w:val="single" w:sz="12"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2011</w:t>
            </w:r>
          </w:p>
        </w:tc>
        <w:tc>
          <w:tcPr>
            <w:tcW w:w="812" w:type="dxa"/>
            <w:tcBorders>
              <w:top w:val="single" w:sz="12"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2012</w:t>
            </w:r>
          </w:p>
        </w:tc>
        <w:tc>
          <w:tcPr>
            <w:tcW w:w="817" w:type="dxa"/>
            <w:tcBorders>
              <w:top w:val="single" w:sz="12"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2013</w:t>
            </w:r>
          </w:p>
        </w:tc>
        <w:tc>
          <w:tcPr>
            <w:tcW w:w="812" w:type="dxa"/>
            <w:tcBorders>
              <w:top w:val="single" w:sz="12"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2014</w:t>
            </w:r>
          </w:p>
        </w:tc>
        <w:tc>
          <w:tcPr>
            <w:tcW w:w="810" w:type="dxa"/>
            <w:tcBorders>
              <w:top w:val="single" w:sz="12"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2015</w:t>
            </w:r>
          </w:p>
        </w:tc>
      </w:tr>
      <w:tr w:rsidR="00CC547F" w:rsidRPr="00A52EF3" w:rsidTr="00270FA8">
        <w:tc>
          <w:tcPr>
            <w:tcW w:w="439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25</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29</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28</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27</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26</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26</w:t>
            </w:r>
          </w:p>
        </w:tc>
        <w:tc>
          <w:tcPr>
            <w:tcW w:w="8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25</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477692" w:rsidRPr="00A52EF3" w:rsidRDefault="00477692" w:rsidP="00F25FCA">
      <w:pPr>
        <w:spacing w:after="0" w:line="360" w:lineRule="auto"/>
        <w:rPr>
          <w:rFonts w:ascii="Times New Roman" w:eastAsia="Calibri" w:hAnsi="Times New Roman" w:cs="Times New Roman"/>
          <w:sz w:val="24"/>
          <w:szCs w:val="24"/>
        </w:rPr>
      </w:pPr>
    </w:p>
    <w:tbl>
      <w:tblPr>
        <w:tblStyle w:val="Tabela-Siatka"/>
        <w:tblW w:w="0" w:type="auto"/>
        <w:tblLook w:val="04A0" w:firstRow="1" w:lastRow="0" w:firstColumn="1" w:lastColumn="0" w:noHBand="0" w:noVBand="1"/>
      </w:tblPr>
      <w:tblGrid>
        <w:gridCol w:w="3070"/>
        <w:gridCol w:w="3071"/>
        <w:gridCol w:w="3071"/>
      </w:tblGrid>
      <w:tr w:rsidR="00477692" w:rsidRPr="00A52EF3" w:rsidTr="00E21859">
        <w:tc>
          <w:tcPr>
            <w:tcW w:w="3070" w:type="dxa"/>
            <w:vAlign w:val="center"/>
          </w:tcPr>
          <w:p w:rsidR="00477692" w:rsidRPr="00A52EF3" w:rsidRDefault="00477692" w:rsidP="00E21859">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3071" w:type="dxa"/>
            <w:vAlign w:val="center"/>
          </w:tcPr>
          <w:p w:rsidR="00477692" w:rsidRPr="00A52EF3" w:rsidRDefault="00477692" w:rsidP="00E21859">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Dopuszczalny poziom</w:t>
            </w:r>
          </w:p>
          <w:p w:rsidR="00477692" w:rsidRPr="00A52EF3" w:rsidRDefault="00477692" w:rsidP="00E21859">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Pb w powietrzu</w:t>
            </w:r>
          </w:p>
          <w:p w:rsidR="00477692" w:rsidRPr="00A52EF3" w:rsidRDefault="00477692" w:rsidP="00E21859">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3071" w:type="dxa"/>
            <w:vAlign w:val="center"/>
          </w:tcPr>
          <w:p w:rsidR="00477692" w:rsidRPr="00A52EF3" w:rsidRDefault="00477692" w:rsidP="00E21859">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częstość przekroczenia dopuszczalnego poziomu w roku kalendarzowym</w:t>
            </w:r>
          </w:p>
        </w:tc>
      </w:tr>
      <w:tr w:rsidR="00477692" w:rsidRPr="00A52EF3" w:rsidTr="00E21859">
        <w:tc>
          <w:tcPr>
            <w:tcW w:w="3070" w:type="dxa"/>
            <w:vAlign w:val="center"/>
          </w:tcPr>
          <w:p w:rsidR="00477692" w:rsidRPr="00A52EF3" w:rsidRDefault="00477692" w:rsidP="00E21859">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3071" w:type="dxa"/>
            <w:vAlign w:val="center"/>
          </w:tcPr>
          <w:p w:rsidR="00477692" w:rsidRPr="00A52EF3" w:rsidRDefault="00477692" w:rsidP="00E21859">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0,5</w:t>
            </w:r>
          </w:p>
        </w:tc>
        <w:tc>
          <w:tcPr>
            <w:tcW w:w="3071" w:type="dxa"/>
            <w:vAlign w:val="center"/>
          </w:tcPr>
          <w:p w:rsidR="00477692" w:rsidRPr="00A52EF3" w:rsidRDefault="00477692" w:rsidP="00E21859">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w:t>
            </w:r>
          </w:p>
        </w:tc>
      </w:tr>
    </w:tbl>
    <w:p w:rsidR="00AE756A" w:rsidRPr="00A52EF3" w:rsidRDefault="00AE756A" w:rsidP="00F25FCA">
      <w:pPr>
        <w:spacing w:after="0" w:line="360" w:lineRule="auto"/>
        <w:rPr>
          <w:rFonts w:ascii="Times New Roman" w:eastAsia="Calibri" w:hAnsi="Times New Roman" w:cs="Times New Roman"/>
          <w:sz w:val="24"/>
          <w:szCs w:val="24"/>
        </w:rPr>
      </w:pPr>
    </w:p>
    <w:p w:rsidR="00AE756A" w:rsidRPr="00A52EF3" w:rsidRDefault="00AE756A" w:rsidP="00F25FCA">
      <w:pPr>
        <w:spacing w:after="0" w:line="360" w:lineRule="auto"/>
        <w:rPr>
          <w:rFonts w:ascii="Times New Roman" w:eastAsia="Calibri" w:hAnsi="Times New Roman" w:cs="Times New Roman"/>
          <w:sz w:val="24"/>
          <w:szCs w:val="24"/>
        </w:rPr>
      </w:pPr>
    </w:p>
    <w:tbl>
      <w:tblPr>
        <w:tblW w:w="9212" w:type="dxa"/>
        <w:tblInd w:w="-10" w:type="dxa"/>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3070"/>
        <w:gridCol w:w="3071"/>
        <w:gridCol w:w="3071"/>
      </w:tblGrid>
      <w:tr w:rsidR="00CC547F" w:rsidRPr="00A52EF3" w:rsidTr="003B0E10">
        <w:tc>
          <w:tcPr>
            <w:tcW w:w="3070"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Zanieczyszczenie</w:t>
            </w:r>
          </w:p>
        </w:tc>
        <w:tc>
          <w:tcPr>
            <w:tcW w:w="3071" w:type="dxa"/>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 uśredniania stężeń</w:t>
            </w:r>
          </w:p>
        </w:tc>
        <w:tc>
          <w:tcPr>
            <w:tcW w:w="3071" w:type="dxa"/>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Docelowy poziom substancji 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[ng/m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r>
      <w:tr w:rsidR="00CC547F" w:rsidRPr="00A52EF3" w:rsidTr="003B0E10">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Arsen</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6</w:t>
            </w:r>
          </w:p>
        </w:tc>
      </w:tr>
      <w:tr w:rsidR="00CC547F" w:rsidRPr="00A52EF3" w:rsidTr="003B0E10">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Benzo(a)piren</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w:t>
            </w:r>
          </w:p>
        </w:tc>
      </w:tr>
      <w:tr w:rsidR="00CC547F" w:rsidRPr="00A52EF3" w:rsidTr="003B0E10">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Kadm</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5</w:t>
            </w:r>
          </w:p>
        </w:tc>
      </w:tr>
      <w:tr w:rsidR="00DD1F74" w:rsidRPr="00A52EF3" w:rsidTr="003B0E10">
        <w:tc>
          <w:tcPr>
            <w:tcW w:w="30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Nikiel</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rok kalendarzowy</w:t>
            </w:r>
          </w:p>
        </w:tc>
        <w:tc>
          <w:tcPr>
            <w:tcW w:w="307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20</w:t>
            </w:r>
          </w:p>
        </w:tc>
      </w:tr>
    </w:tbl>
    <w:p w:rsidR="00270FA8" w:rsidRPr="00A52EF3" w:rsidRDefault="00270FA8" w:rsidP="00F25FCA">
      <w:pPr>
        <w:spacing w:after="0" w:line="360" w:lineRule="auto"/>
        <w:rPr>
          <w:rFonts w:ascii="Times New Roman" w:eastAsia="Calibri" w:hAnsi="Times New Roman" w:cs="Times New Roman"/>
          <w:sz w:val="24"/>
          <w:szCs w:val="24"/>
        </w:rPr>
      </w:pPr>
    </w:p>
    <w:p w:rsidR="008F14EE" w:rsidRPr="00A52EF3" w:rsidRDefault="008F14EE" w:rsidP="00F25FCA">
      <w:pPr>
        <w:spacing w:after="0" w:line="360" w:lineRule="auto"/>
        <w:rPr>
          <w:rFonts w:ascii="Times New Roman" w:eastAsia="Calibri" w:hAnsi="Times New Roman" w:cs="Times New Roman"/>
          <w:sz w:val="24"/>
          <w:szCs w:val="24"/>
        </w:rPr>
      </w:pPr>
    </w:p>
    <w:p w:rsidR="00477692" w:rsidRPr="00A52EF3" w:rsidRDefault="00477692" w:rsidP="00F25FCA">
      <w:pPr>
        <w:spacing w:after="0" w:line="360" w:lineRule="auto"/>
        <w:rPr>
          <w:rFonts w:ascii="Times New Roman" w:eastAsia="Calibri" w:hAnsi="Times New Roman" w:cs="Times New Roman"/>
          <w:sz w:val="24"/>
          <w:szCs w:val="24"/>
        </w:rPr>
      </w:pPr>
    </w:p>
    <w:tbl>
      <w:tblPr>
        <w:tblW w:w="5000" w:type="pct"/>
        <w:tblBorders>
          <w:top w:val="single" w:sz="4" w:space="0" w:color="00000A"/>
          <w:left w:val="single" w:sz="4" w:space="0" w:color="00000A"/>
          <w:bottom w:val="single" w:sz="12" w:space="0" w:color="00000A"/>
          <w:insideH w:val="single" w:sz="12" w:space="0" w:color="00000A"/>
        </w:tblBorders>
        <w:tblCellMar>
          <w:left w:w="98" w:type="dxa"/>
        </w:tblCellMar>
        <w:tblLook w:val="0000" w:firstRow="0" w:lastRow="0" w:firstColumn="0" w:lastColumn="0" w:noHBand="0" w:noVBand="0"/>
      </w:tblPr>
      <w:tblGrid>
        <w:gridCol w:w="2164"/>
        <w:gridCol w:w="1536"/>
        <w:gridCol w:w="2687"/>
        <w:gridCol w:w="2891"/>
      </w:tblGrid>
      <w:tr w:rsidR="00CC547F" w:rsidRPr="00A52EF3" w:rsidTr="003B0E10">
        <w:tc>
          <w:tcPr>
            <w:tcW w:w="1166" w:type="pct"/>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Kryterium</w:t>
            </w:r>
          </w:p>
        </w:tc>
        <w:tc>
          <w:tcPr>
            <w:tcW w:w="828" w:type="pct"/>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Okres</w:t>
            </w:r>
          </w:p>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uśredniania</w:t>
            </w:r>
          </w:p>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stężeń</w:t>
            </w:r>
          </w:p>
        </w:tc>
        <w:tc>
          <w:tcPr>
            <w:tcW w:w="1448" w:type="pct"/>
            <w:tcBorders>
              <w:top w:val="single" w:sz="4" w:space="0" w:color="00000A"/>
              <w:left w:val="single" w:sz="4" w:space="0" w:color="00000A"/>
              <w:bottom w:val="single" w:sz="12"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 xml:space="preserve">Poziom docelowy </w:t>
            </w:r>
            <w:r w:rsidRPr="00A52EF3">
              <w:rPr>
                <w:rFonts w:ascii="Times New Roman" w:eastAsia="Calibri" w:hAnsi="Times New Roman" w:cs="Times New Roman"/>
                <w:b/>
                <w:sz w:val="24"/>
                <w:szCs w:val="24"/>
              </w:rPr>
              <w:br/>
              <w:t>i celu długoterminowego dla O</w:t>
            </w:r>
            <w:r w:rsidRPr="00A52EF3">
              <w:rPr>
                <w:rFonts w:ascii="Times New Roman" w:eastAsia="Calibri" w:hAnsi="Times New Roman" w:cs="Times New Roman"/>
                <w:b/>
                <w:sz w:val="24"/>
                <w:szCs w:val="24"/>
                <w:vertAlign w:val="subscript"/>
              </w:rPr>
              <w:t xml:space="preserve">3 </w:t>
            </w:r>
            <w:r w:rsidRPr="00A52EF3">
              <w:rPr>
                <w:rFonts w:ascii="Times New Roman" w:eastAsia="Calibri" w:hAnsi="Times New Roman" w:cs="Times New Roman"/>
                <w:b/>
                <w:sz w:val="24"/>
                <w:szCs w:val="24"/>
              </w:rPr>
              <w:t>w powietrzu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
                <w:sz w:val="24"/>
                <w:szCs w:val="24"/>
              </w:rPr>
              <w:t>[μg/m</w:t>
            </w:r>
            <w:r w:rsidRPr="00A52EF3">
              <w:rPr>
                <w:rFonts w:ascii="Times New Roman" w:eastAsia="Calibri" w:hAnsi="Times New Roman" w:cs="Times New Roman"/>
                <w:b/>
                <w:sz w:val="24"/>
                <w:szCs w:val="24"/>
                <w:vertAlign w:val="superscript"/>
              </w:rPr>
              <w:t>3</w:t>
            </w:r>
            <w:r w:rsidRPr="00A52EF3">
              <w:rPr>
                <w:rFonts w:ascii="Times New Roman" w:eastAsia="Calibri" w:hAnsi="Times New Roman" w:cs="Times New Roman"/>
                <w:b/>
                <w:sz w:val="24"/>
                <w:szCs w:val="24"/>
              </w:rPr>
              <w:t>]</w:t>
            </w:r>
          </w:p>
        </w:tc>
        <w:tc>
          <w:tcPr>
            <w:tcW w:w="1558" w:type="pct"/>
            <w:tcBorders>
              <w:top w:val="single" w:sz="4" w:space="0" w:color="00000A"/>
              <w:left w:val="single" w:sz="4" w:space="0" w:color="00000A"/>
              <w:bottom w:val="single" w:sz="12"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Dopuszczana liczba dni z przekroczeniami poziomu docelowego w roku</w:t>
            </w:r>
          </w:p>
          <w:p w:rsidR="00270FA8" w:rsidRPr="00A52EF3" w:rsidRDefault="00270FA8" w:rsidP="00F25FCA">
            <w:pPr>
              <w:spacing w:after="0"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kalendarzowym</w:t>
            </w:r>
          </w:p>
        </w:tc>
      </w:tr>
      <w:tr w:rsidR="00CC547F" w:rsidRPr="00A52EF3" w:rsidTr="003B0E10">
        <w:tc>
          <w:tcPr>
            <w:tcW w:w="116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Poziom docelowy</w:t>
            </w:r>
          </w:p>
        </w:tc>
        <w:tc>
          <w:tcPr>
            <w:tcW w:w="82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8-godzin</w:t>
            </w:r>
          </w:p>
        </w:tc>
        <w:tc>
          <w:tcPr>
            <w:tcW w:w="144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120</w:t>
            </w:r>
          </w:p>
        </w:tc>
        <w:tc>
          <w:tcPr>
            <w:tcW w:w="155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25 dni</w:t>
            </w:r>
          </w:p>
        </w:tc>
      </w:tr>
      <w:tr w:rsidR="00DD1F74" w:rsidRPr="00A52EF3" w:rsidTr="003B0E10">
        <w:tc>
          <w:tcPr>
            <w:tcW w:w="116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Poziom celu</w:t>
            </w:r>
          </w:p>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długoterminowego</w:t>
            </w:r>
          </w:p>
        </w:tc>
        <w:tc>
          <w:tcPr>
            <w:tcW w:w="82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8-godzin</w:t>
            </w:r>
          </w:p>
        </w:tc>
        <w:tc>
          <w:tcPr>
            <w:tcW w:w="144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120</w:t>
            </w:r>
          </w:p>
        </w:tc>
        <w:tc>
          <w:tcPr>
            <w:tcW w:w="1558"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270FA8" w:rsidRPr="00A52EF3" w:rsidRDefault="00270FA8" w:rsidP="00F25FCA">
            <w:pPr>
              <w:spacing w:after="0"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nie dotyczy (określana jest wartość max)</w:t>
            </w:r>
          </w:p>
        </w:tc>
      </w:tr>
    </w:tbl>
    <w:p w:rsidR="00270FA8" w:rsidRPr="00A52EF3" w:rsidRDefault="00270FA8" w:rsidP="00F25FCA">
      <w:pPr>
        <w:spacing w:line="360" w:lineRule="auto"/>
        <w:rPr>
          <w:rFonts w:ascii="Times New Roman" w:eastAsia="Calibri" w:hAnsi="Times New Roman" w:cs="Times New Roman"/>
          <w:sz w:val="24"/>
          <w:szCs w:val="24"/>
        </w:rPr>
      </w:pPr>
    </w:p>
    <w:p w:rsidR="00270FA8" w:rsidRPr="00A52EF3" w:rsidRDefault="00270FA8" w:rsidP="00545ED4">
      <w:pPr>
        <w:pStyle w:val="Nagwek2"/>
        <w:numPr>
          <w:ilvl w:val="1"/>
          <w:numId w:val="86"/>
        </w:numPr>
        <w:spacing w:after="120" w:line="360" w:lineRule="auto"/>
        <w:rPr>
          <w:rFonts w:ascii="Times New Roman" w:hAnsi="Times New Roman" w:cs="Times New Roman"/>
          <w:color w:val="auto"/>
        </w:rPr>
      </w:pPr>
      <w:bookmarkStart w:id="37" w:name="_Toc449097737"/>
      <w:bookmarkStart w:id="38" w:name="_Toc470764009"/>
      <w:r w:rsidRPr="00A52EF3">
        <w:rPr>
          <w:rFonts w:ascii="Times New Roman" w:hAnsi="Times New Roman" w:cs="Times New Roman"/>
          <w:color w:val="auto"/>
        </w:rPr>
        <w:t xml:space="preserve">Warunki meteorologiczne na terenie </w:t>
      </w:r>
      <w:bookmarkEnd w:id="37"/>
      <w:r w:rsidR="00944E61" w:rsidRPr="00A52EF3">
        <w:rPr>
          <w:rFonts w:ascii="Times New Roman" w:hAnsi="Times New Roman" w:cs="Times New Roman"/>
          <w:color w:val="auto"/>
        </w:rPr>
        <w:t>województwa świętokrzyskiego</w:t>
      </w:r>
      <w:bookmarkEnd w:id="38"/>
    </w:p>
    <w:p w:rsidR="00AE756A" w:rsidRPr="00A52EF3" w:rsidRDefault="00442A92" w:rsidP="00881557">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Ogólna charakterystyka warunków atmosferycznych </w:t>
      </w:r>
      <w:r w:rsidR="00944E61" w:rsidRPr="00A52EF3">
        <w:rPr>
          <w:rFonts w:ascii="Times New Roman" w:hAnsi="Times New Roman" w:cs="Times New Roman"/>
          <w:sz w:val="24"/>
          <w:szCs w:val="24"/>
        </w:rPr>
        <w:t xml:space="preserve">w województwie świętokrzyskim w 2015 r. </w:t>
      </w:r>
      <w:r w:rsidRPr="00A52EF3">
        <w:rPr>
          <w:rFonts w:ascii="Times New Roman" w:hAnsi="Times New Roman" w:cs="Times New Roman"/>
          <w:sz w:val="24"/>
          <w:szCs w:val="24"/>
        </w:rPr>
        <w:t xml:space="preserve">została stworzona dzięki danym meteorologicznym (temperatura </w:t>
      </w:r>
      <w:r w:rsidR="00944E61" w:rsidRPr="00A52EF3">
        <w:rPr>
          <w:rFonts w:ascii="Times New Roman" w:hAnsi="Times New Roman" w:cs="Times New Roman"/>
          <w:sz w:val="24"/>
          <w:szCs w:val="24"/>
        </w:rPr>
        <w:t xml:space="preserve">powietrza </w:t>
      </w:r>
      <w:r w:rsidRPr="00A52EF3">
        <w:rPr>
          <w:rFonts w:ascii="Times New Roman" w:hAnsi="Times New Roman" w:cs="Times New Roman"/>
          <w:sz w:val="24"/>
          <w:szCs w:val="24"/>
        </w:rPr>
        <w:br/>
      </w:r>
      <w:r w:rsidR="00944E61" w:rsidRPr="00A52EF3">
        <w:rPr>
          <w:rFonts w:ascii="Times New Roman" w:hAnsi="Times New Roman" w:cs="Times New Roman"/>
          <w:sz w:val="24"/>
          <w:szCs w:val="24"/>
        </w:rPr>
        <w:t>i</w:t>
      </w:r>
      <w:r w:rsidRPr="00A52EF3">
        <w:rPr>
          <w:rFonts w:ascii="Times New Roman" w:hAnsi="Times New Roman" w:cs="Times New Roman"/>
          <w:sz w:val="24"/>
          <w:szCs w:val="24"/>
        </w:rPr>
        <w:t xml:space="preserve"> prędkość wiatru) zarejestrowanym</w:t>
      </w:r>
      <w:r w:rsidR="00944E61" w:rsidRPr="00A52EF3">
        <w:rPr>
          <w:rFonts w:ascii="Times New Roman" w:hAnsi="Times New Roman" w:cs="Times New Roman"/>
          <w:sz w:val="24"/>
          <w:szCs w:val="24"/>
        </w:rPr>
        <w:t xml:space="preserve"> w ramach fun</w:t>
      </w:r>
      <w:r w:rsidRPr="00A52EF3">
        <w:rPr>
          <w:rFonts w:ascii="Times New Roman" w:hAnsi="Times New Roman" w:cs="Times New Roman"/>
          <w:sz w:val="24"/>
          <w:szCs w:val="24"/>
        </w:rPr>
        <w:t xml:space="preserve">kcjonowania czterech stacji </w:t>
      </w:r>
      <w:r w:rsidR="00944E61" w:rsidRPr="00A52EF3">
        <w:rPr>
          <w:rFonts w:ascii="Times New Roman" w:hAnsi="Times New Roman" w:cs="Times New Roman"/>
          <w:sz w:val="24"/>
          <w:szCs w:val="24"/>
        </w:rPr>
        <w:t>monitoringu powietrza: w Kielcach przy ul. Jag</w:t>
      </w:r>
      <w:r w:rsidRPr="00A52EF3">
        <w:rPr>
          <w:rFonts w:ascii="Times New Roman" w:hAnsi="Times New Roman" w:cs="Times New Roman"/>
          <w:sz w:val="24"/>
          <w:szCs w:val="24"/>
        </w:rPr>
        <w:t xml:space="preserve">iellońskiej, w Małogoszczu przy </w:t>
      </w:r>
      <w:r w:rsidR="00944E61" w:rsidRPr="00A52EF3">
        <w:rPr>
          <w:rFonts w:ascii="Times New Roman" w:hAnsi="Times New Roman" w:cs="Times New Roman"/>
          <w:sz w:val="24"/>
          <w:szCs w:val="24"/>
        </w:rPr>
        <w:t xml:space="preserve">ul. 11 Listopada, </w:t>
      </w:r>
      <w:r w:rsidRPr="00A52EF3">
        <w:rPr>
          <w:rFonts w:ascii="Times New Roman" w:hAnsi="Times New Roman" w:cs="Times New Roman"/>
          <w:sz w:val="24"/>
          <w:szCs w:val="24"/>
        </w:rPr>
        <w:br/>
      </w:r>
      <w:r w:rsidR="00944E61" w:rsidRPr="00A52EF3">
        <w:rPr>
          <w:rFonts w:ascii="Times New Roman" w:hAnsi="Times New Roman" w:cs="Times New Roman"/>
          <w:sz w:val="24"/>
          <w:szCs w:val="24"/>
        </w:rPr>
        <w:t>w Nowinach przy ul. Parkowej oraz w Połańcu przy ul. Ruszczańskiej.</w:t>
      </w:r>
      <w:r w:rsidRPr="00A52EF3">
        <w:rPr>
          <w:rFonts w:ascii="Times New Roman" w:hAnsi="Times New Roman" w:cs="Times New Roman"/>
          <w:sz w:val="24"/>
          <w:szCs w:val="24"/>
        </w:rPr>
        <w:t xml:space="preserve"> Na podstawie danych zgromadzonych przez WIOŚ, wynika iż średnia roczna temperatura powietrza w 2015 roku na terenie województwa była najwyższa dla rejonu Połańca i wynosiła 10,6</w:t>
      </w:r>
      <w:r w:rsidRPr="00A52EF3">
        <w:rPr>
          <w:rFonts w:ascii="Times New Roman" w:hAnsi="Times New Roman" w:cs="Times New Roman"/>
          <w:sz w:val="24"/>
          <w:szCs w:val="24"/>
          <w:vertAlign w:val="superscript"/>
        </w:rPr>
        <w:t>o</w:t>
      </w:r>
      <w:r w:rsidRPr="00A52EF3">
        <w:rPr>
          <w:rFonts w:ascii="Times New Roman" w:hAnsi="Times New Roman" w:cs="Times New Roman"/>
          <w:sz w:val="24"/>
          <w:szCs w:val="24"/>
        </w:rPr>
        <w:t>C, natomiast najniższa dla Kielc: 9,9</w:t>
      </w:r>
      <w:r w:rsidRPr="00A52EF3">
        <w:rPr>
          <w:rFonts w:ascii="Times New Roman" w:hAnsi="Times New Roman" w:cs="Times New Roman"/>
          <w:sz w:val="24"/>
          <w:szCs w:val="24"/>
          <w:vertAlign w:val="superscript"/>
        </w:rPr>
        <w:t>o</w:t>
      </w:r>
      <w:r w:rsidRPr="00A52EF3">
        <w:rPr>
          <w:rFonts w:ascii="Times New Roman" w:hAnsi="Times New Roman" w:cs="Times New Roman"/>
          <w:sz w:val="24"/>
          <w:szCs w:val="24"/>
        </w:rPr>
        <w:t>C. Biorąc pod uwagę średnie miesięczne temperatury powietrza, najchłodniejszym miesiącem 2015 roku był luty, a najcieplejszym sierpień. W Kielcach średnia miesięczna w lutym wynosiła 0,6</w:t>
      </w:r>
      <w:r w:rsidRPr="00A52EF3">
        <w:rPr>
          <w:rFonts w:ascii="Times New Roman" w:hAnsi="Times New Roman" w:cs="Times New Roman"/>
          <w:sz w:val="24"/>
          <w:szCs w:val="24"/>
          <w:vertAlign w:val="superscript"/>
        </w:rPr>
        <w:t>o</w:t>
      </w:r>
      <w:r w:rsidRPr="00A52EF3">
        <w:rPr>
          <w:rFonts w:ascii="Times New Roman" w:hAnsi="Times New Roman" w:cs="Times New Roman"/>
          <w:sz w:val="24"/>
          <w:szCs w:val="24"/>
        </w:rPr>
        <w:t>C, a w Połańcu średnia dla sierpnia osiągnęła 23,0</w:t>
      </w:r>
      <w:r w:rsidRPr="00A52EF3">
        <w:rPr>
          <w:rFonts w:ascii="Times New Roman" w:hAnsi="Times New Roman" w:cs="Times New Roman"/>
          <w:sz w:val="24"/>
          <w:szCs w:val="24"/>
          <w:vertAlign w:val="superscript"/>
        </w:rPr>
        <w:t>o</w:t>
      </w:r>
      <w:r w:rsidRPr="00A52EF3">
        <w:rPr>
          <w:rFonts w:ascii="Times New Roman" w:hAnsi="Times New Roman" w:cs="Times New Roman"/>
          <w:sz w:val="24"/>
          <w:szCs w:val="24"/>
        </w:rPr>
        <w:t>C. Średnie miesięczne prędkości wiatrów zarejestrowane we wszystkich stacjach monitoringu</w:t>
      </w:r>
      <w:r w:rsidR="005C5268" w:rsidRPr="00A52EF3">
        <w:rPr>
          <w:rFonts w:ascii="Times New Roman" w:hAnsi="Times New Roman" w:cs="Times New Roman"/>
          <w:sz w:val="24"/>
          <w:szCs w:val="24"/>
        </w:rPr>
        <w:t xml:space="preserve"> </w:t>
      </w:r>
      <w:r w:rsidRPr="00A52EF3">
        <w:rPr>
          <w:rFonts w:ascii="Times New Roman" w:hAnsi="Times New Roman" w:cs="Times New Roman"/>
          <w:sz w:val="24"/>
          <w:szCs w:val="24"/>
        </w:rPr>
        <w:t xml:space="preserve">były niewielkie w </w:t>
      </w:r>
      <w:r w:rsidR="005C5268" w:rsidRPr="00A52EF3">
        <w:rPr>
          <w:rFonts w:ascii="Times New Roman" w:hAnsi="Times New Roman" w:cs="Times New Roman"/>
          <w:sz w:val="24"/>
          <w:szCs w:val="24"/>
        </w:rPr>
        <w:t>stosunku</w:t>
      </w:r>
      <w:r w:rsidRPr="00A52EF3">
        <w:rPr>
          <w:rFonts w:ascii="Times New Roman" w:hAnsi="Times New Roman" w:cs="Times New Roman"/>
          <w:sz w:val="24"/>
          <w:szCs w:val="24"/>
        </w:rPr>
        <w:t xml:space="preserve"> do wartości średnich miesięcznych dla Polski. </w:t>
      </w:r>
      <w:r w:rsidR="005C5268" w:rsidRPr="00A52EF3">
        <w:rPr>
          <w:rFonts w:ascii="Times New Roman" w:hAnsi="Times New Roman" w:cs="Times New Roman"/>
          <w:sz w:val="24"/>
          <w:szCs w:val="24"/>
        </w:rPr>
        <w:t>Wyniosły on w granicach</w:t>
      </w:r>
      <w:r w:rsidRPr="00A52EF3">
        <w:rPr>
          <w:rFonts w:ascii="Times New Roman" w:hAnsi="Times New Roman" w:cs="Times New Roman"/>
          <w:sz w:val="24"/>
          <w:szCs w:val="24"/>
        </w:rPr>
        <w:t xml:space="preserve"> od 0,69 do 2,14m/s. Średnie roczne prędkości wiatrów nie przekraczały 2m/s. </w:t>
      </w:r>
      <w:r w:rsidR="007A7279" w:rsidRPr="00A52EF3">
        <w:rPr>
          <w:rFonts w:ascii="Times New Roman" w:hAnsi="Times New Roman" w:cs="Times New Roman"/>
          <w:sz w:val="24"/>
          <w:szCs w:val="24"/>
        </w:rPr>
        <w:t>Okres zimowy</w:t>
      </w:r>
      <w:r w:rsidR="005C5268" w:rsidRPr="00A52EF3">
        <w:rPr>
          <w:rFonts w:ascii="Times New Roman" w:hAnsi="Times New Roman" w:cs="Times New Roman"/>
          <w:sz w:val="24"/>
          <w:szCs w:val="24"/>
        </w:rPr>
        <w:t xml:space="preserve"> w województwie świętokrzyskim w 2015 roku</w:t>
      </w:r>
      <w:r w:rsidR="007A7279" w:rsidRPr="00A52EF3">
        <w:rPr>
          <w:rFonts w:ascii="Times New Roman" w:hAnsi="Times New Roman" w:cs="Times New Roman"/>
          <w:sz w:val="24"/>
          <w:szCs w:val="24"/>
        </w:rPr>
        <w:t xml:space="preserve"> sprzyjał </w:t>
      </w:r>
      <w:r w:rsidRPr="00A52EF3">
        <w:rPr>
          <w:rFonts w:ascii="Times New Roman" w:hAnsi="Times New Roman" w:cs="Times New Roman"/>
          <w:sz w:val="24"/>
          <w:szCs w:val="24"/>
        </w:rPr>
        <w:t xml:space="preserve">występowaniu i kumulacji w przyziemnej części atmosfery zwiększonych stężeń zanieczyszczeń powietrza. Niskie temperatury w miesiącach zimowych </w:t>
      </w:r>
      <w:r w:rsidR="0047553E" w:rsidRPr="00A52EF3">
        <w:rPr>
          <w:rFonts w:ascii="Times New Roman" w:hAnsi="Times New Roman" w:cs="Times New Roman"/>
          <w:sz w:val="24"/>
          <w:szCs w:val="24"/>
        </w:rPr>
        <w:t>powodowały</w:t>
      </w:r>
      <w:r w:rsidRPr="00A52EF3">
        <w:rPr>
          <w:rFonts w:ascii="Times New Roman" w:hAnsi="Times New Roman" w:cs="Times New Roman"/>
          <w:sz w:val="24"/>
          <w:szCs w:val="24"/>
        </w:rPr>
        <w:t xml:space="preserve"> </w:t>
      </w:r>
      <w:r w:rsidR="0047553E" w:rsidRPr="00A52EF3">
        <w:rPr>
          <w:rFonts w:ascii="Times New Roman" w:hAnsi="Times New Roman" w:cs="Times New Roman"/>
          <w:sz w:val="24"/>
          <w:szCs w:val="24"/>
        </w:rPr>
        <w:t>zwiększone</w:t>
      </w:r>
      <w:r w:rsidR="003B77FA" w:rsidRPr="00A52EF3">
        <w:rPr>
          <w:rFonts w:ascii="Times New Roman" w:hAnsi="Times New Roman" w:cs="Times New Roman"/>
          <w:sz w:val="24"/>
          <w:szCs w:val="24"/>
        </w:rPr>
        <w:t xml:space="preserve"> zużycie</w:t>
      </w:r>
      <w:r w:rsidRPr="00A52EF3">
        <w:rPr>
          <w:rFonts w:ascii="Times New Roman" w:hAnsi="Times New Roman" w:cs="Times New Roman"/>
          <w:sz w:val="24"/>
          <w:szCs w:val="24"/>
        </w:rPr>
        <w:t xml:space="preserve"> paliw w celach grzewczych i wzrost emisji zanieczyszczeń, zwłaszcza pyłów drobnych. Natomiast wysokie temperatury powietrza w miesiącach letnich (głównie </w:t>
      </w:r>
      <w:r w:rsidR="003B77FA" w:rsidRPr="00A52EF3">
        <w:rPr>
          <w:rFonts w:ascii="Times New Roman" w:hAnsi="Times New Roman" w:cs="Times New Roman"/>
          <w:sz w:val="24"/>
          <w:szCs w:val="24"/>
        </w:rPr>
        <w:br/>
      </w:r>
      <w:r w:rsidRPr="00A52EF3">
        <w:rPr>
          <w:rFonts w:ascii="Times New Roman" w:hAnsi="Times New Roman" w:cs="Times New Roman"/>
          <w:sz w:val="24"/>
          <w:szCs w:val="24"/>
        </w:rPr>
        <w:t>w lipcu i sierpniu) sprzyjały powstawaniu ozonu.</w:t>
      </w:r>
    </w:p>
    <w:p w:rsidR="003B77FA" w:rsidRPr="00A52EF3" w:rsidRDefault="003B77FA" w:rsidP="00545ED4">
      <w:pPr>
        <w:pStyle w:val="Nagwek2"/>
        <w:numPr>
          <w:ilvl w:val="1"/>
          <w:numId w:val="86"/>
        </w:numPr>
        <w:spacing w:after="240" w:line="360" w:lineRule="auto"/>
        <w:rPr>
          <w:rFonts w:ascii="Times New Roman" w:hAnsi="Times New Roman" w:cs="Times New Roman"/>
          <w:color w:val="auto"/>
        </w:rPr>
      </w:pPr>
      <w:bookmarkStart w:id="39" w:name="_Toc470764010"/>
      <w:r w:rsidRPr="00A52EF3">
        <w:rPr>
          <w:rFonts w:ascii="Times New Roman" w:hAnsi="Times New Roman" w:cs="Times New Roman"/>
          <w:color w:val="auto"/>
        </w:rPr>
        <w:lastRenderedPageBreak/>
        <w:t>Ocena jakości powietrza w województwie świętokrzyskim</w:t>
      </w:r>
      <w:bookmarkEnd w:id="39"/>
    </w:p>
    <w:p w:rsidR="002C1963" w:rsidRPr="00A52EF3" w:rsidRDefault="003B77FA" w:rsidP="002C1963">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Poniższe informacje uzyskano na podstawie danych zawartych w „Ocenie jakości powietrza w województwie świętokrzyskim w 2015 roku” </w:t>
      </w:r>
      <w:r w:rsidR="00CC547F" w:rsidRPr="00A52EF3">
        <w:rPr>
          <w:rFonts w:ascii="Times New Roman" w:hAnsi="Times New Roman" w:cs="Times New Roman"/>
          <w:sz w:val="24"/>
          <w:szCs w:val="24"/>
        </w:rPr>
        <w:t>opracowanych przez Wydział Monitoringu Środowiska WIOŚ w Kielcach.</w:t>
      </w:r>
      <w:r w:rsidR="00AA5826" w:rsidRPr="00A52EF3">
        <w:rPr>
          <w:rFonts w:ascii="Times New Roman" w:hAnsi="Times New Roman" w:cs="Times New Roman"/>
          <w:sz w:val="24"/>
          <w:szCs w:val="24"/>
        </w:rPr>
        <w:t xml:space="preserve"> Gmina Brody należy do strefy świętokrzyskiej.</w:t>
      </w:r>
    </w:p>
    <w:p w:rsidR="00CC547F" w:rsidRPr="00A52EF3" w:rsidRDefault="00AA5826"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Benzen</w:t>
      </w:r>
    </w:p>
    <w:p w:rsidR="00AA5826" w:rsidRPr="00A52EF3" w:rsidRDefault="00AA5826"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Obie strefy ocenione zostały jako spełniające wymogi klasy A z uwagi na nie przekraczanie wartości kryterialnej stężenia odnoszącego się do rocznego uśredniania wyników pomiarów. W ocenie wykorzystano wyniki pomiarów z 1 stanowiska pomiarowego zlokaliz</w:t>
      </w:r>
      <w:r w:rsidR="00820AB3" w:rsidRPr="00A52EF3">
        <w:rPr>
          <w:rFonts w:ascii="Times New Roman" w:hAnsi="Times New Roman" w:cs="Times New Roman"/>
          <w:sz w:val="24"/>
          <w:szCs w:val="24"/>
        </w:rPr>
        <w:t xml:space="preserve">owanego w strefie miasta Kielce. </w:t>
      </w:r>
      <w:r w:rsidRPr="00A52EF3">
        <w:rPr>
          <w:rFonts w:ascii="Times New Roman" w:hAnsi="Times New Roman" w:cs="Times New Roman"/>
          <w:sz w:val="24"/>
          <w:szCs w:val="24"/>
        </w:rPr>
        <w:t xml:space="preserve">Średnie roczne stężenie wynosiło 1μg/m3 </w:t>
      </w:r>
      <w:r w:rsidR="00820AB3" w:rsidRPr="00A52EF3">
        <w:rPr>
          <w:rFonts w:ascii="Times New Roman" w:hAnsi="Times New Roman" w:cs="Times New Roman"/>
          <w:sz w:val="24"/>
          <w:szCs w:val="24"/>
        </w:rPr>
        <w:br/>
      </w:r>
      <w:r w:rsidRPr="00A52EF3">
        <w:rPr>
          <w:rFonts w:ascii="Times New Roman" w:hAnsi="Times New Roman" w:cs="Times New Roman"/>
          <w:sz w:val="24"/>
          <w:szCs w:val="24"/>
        </w:rPr>
        <w:t>i stanowiło 20% poziomu dopuszczalnego benzenu. Do oceny strefy świętokrzyskiej zastosowano inne metody takie jak analogia do wyników pomiarów uzyskanych w strefie miasta Kielce.</w:t>
      </w:r>
    </w:p>
    <w:tbl>
      <w:tblPr>
        <w:tblStyle w:val="Tabela-Siatka"/>
        <w:tblW w:w="5000" w:type="pct"/>
        <w:tblLook w:val="04A0" w:firstRow="1" w:lastRow="0" w:firstColumn="1" w:lastColumn="0" w:noHBand="0" w:noVBand="1"/>
      </w:tblPr>
      <w:tblGrid>
        <w:gridCol w:w="799"/>
        <w:gridCol w:w="3208"/>
        <w:gridCol w:w="1817"/>
        <w:gridCol w:w="3464"/>
      </w:tblGrid>
      <w:tr w:rsidR="00AA5826" w:rsidRPr="00A52EF3" w:rsidTr="00AA5826">
        <w:tc>
          <w:tcPr>
            <w:tcW w:w="430"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727"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978"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1865"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C</w:t>
            </w:r>
            <w:r w:rsidRPr="00A52EF3">
              <w:rPr>
                <w:rFonts w:ascii="Times New Roman" w:hAnsi="Times New Roman" w:cs="Times New Roman"/>
                <w:sz w:val="24"/>
                <w:szCs w:val="24"/>
                <w:vertAlign w:val="subscript"/>
              </w:rPr>
              <w:t>6</w:t>
            </w:r>
            <w:r w:rsidRPr="00A52EF3">
              <w:rPr>
                <w:rFonts w:ascii="Times New Roman" w:hAnsi="Times New Roman" w:cs="Times New Roman"/>
                <w:sz w:val="24"/>
                <w:szCs w:val="24"/>
              </w:rPr>
              <w:t>H</w:t>
            </w:r>
            <w:r w:rsidRPr="00A52EF3">
              <w:rPr>
                <w:rFonts w:ascii="Times New Roman" w:hAnsi="Times New Roman" w:cs="Times New Roman"/>
                <w:sz w:val="24"/>
                <w:szCs w:val="24"/>
                <w:vertAlign w:val="subscript"/>
              </w:rPr>
              <w:t>6</w:t>
            </w:r>
          </w:p>
        </w:tc>
      </w:tr>
      <w:tr w:rsidR="00AA5826" w:rsidRPr="00A52EF3" w:rsidTr="00AA5826">
        <w:tc>
          <w:tcPr>
            <w:tcW w:w="430"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727"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978"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65"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r w:rsidR="00AA5826" w:rsidRPr="00A52EF3" w:rsidTr="00AA5826">
        <w:tc>
          <w:tcPr>
            <w:tcW w:w="430"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727"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978"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65" w:type="pc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bl>
    <w:p w:rsidR="00AE756A" w:rsidRPr="00A52EF3" w:rsidRDefault="00AE756A" w:rsidP="00881557">
      <w:pPr>
        <w:spacing w:line="360" w:lineRule="auto"/>
        <w:jc w:val="both"/>
        <w:rPr>
          <w:rFonts w:ascii="Times New Roman" w:hAnsi="Times New Roman" w:cs="Times New Roman"/>
          <w:sz w:val="24"/>
          <w:szCs w:val="24"/>
        </w:rPr>
      </w:pPr>
    </w:p>
    <w:p w:rsidR="00AA5826" w:rsidRPr="00A52EF3" w:rsidRDefault="00AA5826"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Dwutlenek azotu</w:t>
      </w:r>
    </w:p>
    <w:p w:rsidR="00477692" w:rsidRPr="00A52EF3" w:rsidRDefault="00AA5826" w:rsidP="002C1963">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Dla obu stref ustalono klasę A z uwagi na brak przekroczeń wartości poziomu dopuszczalnego obowiązujących zarówno dla stężeń 1 godz. jak i dla średnich rocznych. Na podstawie pomiarów możliwość oceny stężeń 1 godz. i rocznych występowała w odniesieniu do 4 stanowisk wykonujących badania ciągłe i prowadzących automatyczny rejestr danych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 Kielcach, Nowinach i Połańcu. Poziom dopuszczalny dwutlenku azotu jest zachowany na obszarze całego województwa. Stężenia średnioroczne NO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xml:space="preserve"> zarejestrowane na podstawie pomiarów nie przekraczały dopuszczalnego poziomu 40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wynosiły: w Kielcach – 25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w Nowinach - 18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a na stacji w Połańcu 15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Najwyższe maksimum godzinowe z pomiarów ciągłych – 164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wystąpiło w Kielcach i stanowiło 82% poziomu dopuszczalnego (200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tbl>
      <w:tblPr>
        <w:tblStyle w:val="Tabela-Siatka"/>
        <w:tblW w:w="0" w:type="auto"/>
        <w:tblLook w:val="04A0" w:firstRow="1" w:lastRow="0" w:firstColumn="1" w:lastColumn="0" w:noHBand="0" w:noVBand="1"/>
      </w:tblPr>
      <w:tblGrid>
        <w:gridCol w:w="543"/>
        <w:gridCol w:w="1833"/>
        <w:gridCol w:w="1276"/>
        <w:gridCol w:w="1843"/>
        <w:gridCol w:w="1843"/>
        <w:gridCol w:w="1950"/>
      </w:tblGrid>
      <w:tr w:rsidR="00AA5826" w:rsidRPr="00A52EF3" w:rsidTr="00AA5826">
        <w:tc>
          <w:tcPr>
            <w:tcW w:w="0" w:type="auto"/>
            <w:vMerge w:val="restar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lastRenderedPageBreak/>
              <w:t>Lp.</w:t>
            </w:r>
          </w:p>
        </w:tc>
        <w:tc>
          <w:tcPr>
            <w:tcW w:w="1833" w:type="dxa"/>
            <w:vMerge w:val="restar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1276" w:type="dxa"/>
            <w:vMerge w:val="restar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3686" w:type="dxa"/>
            <w:gridSpan w:val="2"/>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w:t>
            </w:r>
          </w:p>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poszczególnych czasów</w:t>
            </w:r>
          </w:p>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uśredniania stężeń NO</w:t>
            </w:r>
            <w:r w:rsidRPr="00A52EF3">
              <w:rPr>
                <w:rFonts w:ascii="Times New Roman" w:hAnsi="Times New Roman" w:cs="Times New Roman"/>
                <w:sz w:val="24"/>
                <w:szCs w:val="24"/>
                <w:vertAlign w:val="subscript"/>
              </w:rPr>
              <w:t>2</w:t>
            </w:r>
          </w:p>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(klasyfikacja wg parametrów)</w:t>
            </w:r>
          </w:p>
        </w:tc>
        <w:tc>
          <w:tcPr>
            <w:tcW w:w="1950" w:type="dxa"/>
            <w:vMerge w:val="restart"/>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NO</w:t>
            </w:r>
            <w:r w:rsidRPr="00A52EF3">
              <w:rPr>
                <w:rFonts w:ascii="Times New Roman" w:hAnsi="Times New Roman" w:cs="Times New Roman"/>
                <w:sz w:val="24"/>
                <w:szCs w:val="24"/>
                <w:vertAlign w:val="subscript"/>
              </w:rPr>
              <w:t>2</w:t>
            </w:r>
          </w:p>
        </w:tc>
      </w:tr>
      <w:tr w:rsidR="00AA5826" w:rsidRPr="00A52EF3" w:rsidTr="00AA5826">
        <w:tc>
          <w:tcPr>
            <w:tcW w:w="0" w:type="auto"/>
            <w:vMerge/>
            <w:vAlign w:val="center"/>
          </w:tcPr>
          <w:p w:rsidR="00AA5826" w:rsidRPr="00A52EF3" w:rsidRDefault="00AA5826" w:rsidP="00F25FCA">
            <w:pPr>
              <w:spacing w:line="360" w:lineRule="auto"/>
              <w:jc w:val="center"/>
              <w:rPr>
                <w:rFonts w:ascii="Times New Roman" w:hAnsi="Times New Roman" w:cs="Times New Roman"/>
                <w:sz w:val="24"/>
                <w:szCs w:val="24"/>
              </w:rPr>
            </w:pPr>
          </w:p>
        </w:tc>
        <w:tc>
          <w:tcPr>
            <w:tcW w:w="1833" w:type="dxa"/>
            <w:vMerge/>
            <w:vAlign w:val="center"/>
          </w:tcPr>
          <w:p w:rsidR="00AA5826" w:rsidRPr="00A52EF3" w:rsidRDefault="00AA5826" w:rsidP="00F25FCA">
            <w:pPr>
              <w:spacing w:line="360" w:lineRule="auto"/>
              <w:jc w:val="center"/>
              <w:rPr>
                <w:rFonts w:ascii="Times New Roman" w:hAnsi="Times New Roman" w:cs="Times New Roman"/>
                <w:sz w:val="24"/>
                <w:szCs w:val="24"/>
              </w:rPr>
            </w:pPr>
          </w:p>
        </w:tc>
        <w:tc>
          <w:tcPr>
            <w:tcW w:w="1276" w:type="dxa"/>
            <w:vMerge/>
            <w:vAlign w:val="center"/>
          </w:tcPr>
          <w:p w:rsidR="00AA5826" w:rsidRPr="00A52EF3" w:rsidRDefault="00AA5826" w:rsidP="00F25FCA">
            <w:pPr>
              <w:spacing w:line="360" w:lineRule="auto"/>
              <w:jc w:val="center"/>
              <w:rPr>
                <w:rFonts w:ascii="Times New Roman" w:hAnsi="Times New Roman" w:cs="Times New Roman"/>
                <w:sz w:val="24"/>
                <w:szCs w:val="24"/>
              </w:rPr>
            </w:pP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godz.</w:t>
            </w: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rok</w:t>
            </w:r>
          </w:p>
        </w:tc>
        <w:tc>
          <w:tcPr>
            <w:tcW w:w="1950" w:type="dxa"/>
            <w:vMerge/>
            <w:vAlign w:val="center"/>
          </w:tcPr>
          <w:p w:rsidR="00AA5826" w:rsidRPr="00A52EF3" w:rsidRDefault="00AA5826" w:rsidP="00F25FCA">
            <w:pPr>
              <w:spacing w:line="360" w:lineRule="auto"/>
              <w:jc w:val="center"/>
              <w:rPr>
                <w:rFonts w:ascii="Times New Roman" w:hAnsi="Times New Roman" w:cs="Times New Roman"/>
                <w:sz w:val="24"/>
                <w:szCs w:val="24"/>
              </w:rPr>
            </w:pPr>
          </w:p>
        </w:tc>
      </w:tr>
      <w:tr w:rsidR="00AA5826" w:rsidRPr="00A52EF3" w:rsidTr="00AA5826">
        <w:tc>
          <w:tcPr>
            <w:tcW w:w="0" w:type="auto"/>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83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1276"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r w:rsidR="00AA5826" w:rsidRPr="00A52EF3" w:rsidTr="00AA5826">
        <w:tc>
          <w:tcPr>
            <w:tcW w:w="0" w:type="auto"/>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83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1276"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843"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AA5826" w:rsidRPr="00A52EF3" w:rsidRDefault="00AA5826"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bl>
    <w:p w:rsidR="00AA5826" w:rsidRPr="00A52EF3" w:rsidRDefault="00AA5826" w:rsidP="00F25FCA">
      <w:pPr>
        <w:spacing w:line="360" w:lineRule="auto"/>
        <w:ind w:firstLine="708"/>
        <w:jc w:val="both"/>
        <w:rPr>
          <w:rFonts w:ascii="Times New Roman" w:hAnsi="Times New Roman" w:cs="Times New Roman"/>
          <w:sz w:val="24"/>
          <w:szCs w:val="24"/>
        </w:rPr>
      </w:pPr>
    </w:p>
    <w:p w:rsidR="00AA5826" w:rsidRPr="00A52EF3" w:rsidRDefault="004042AC"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Dwutlenek siarki</w:t>
      </w:r>
    </w:p>
    <w:p w:rsidR="004042AC" w:rsidRPr="00A52EF3" w:rsidRDefault="004042AC"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Dla obu stref ustalono klasę A z uwagi na nie występowanie, ponad dozwoloną ilość, przekroczeń wartości kryterialnych określonych dla stężeń 1 godz. jak również nie przekraczanie norm obowiązujących dla stężeń 24 godz. Na podstawie pomiarów możliwość oceny zarówno stężeń 24 godz. jak i 1 godz. występowała w odniesieniu do 4 stanowisk wykonujących badania ciągłe i prowadzących automatyczny rejestr danych: w Kielcach, Nowinach, Połańcu i Małogoszczu. Najwyższe stężenia zarejestrowane na stacji w Kielcach to: 1 godz., które wynosiło 59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(17% poziomu dopuszczalnego 350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oraz 24 godz., które wynosiło 31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(25% poziomu dopuszczalnego 125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W strefie świętokrzyskiej na wszystkich stanowiskach dotrzymane były normy dla SO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Maksymalne stężenia wystąpiły w Połańcu i wynosiły: 1 godz. 95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co stanowi 27% normy oraz 24 godz. 35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czyli 28% obowiązującego poziomu dopuszczalnego.</w:t>
      </w:r>
    </w:p>
    <w:tbl>
      <w:tblPr>
        <w:tblStyle w:val="Tabela-Siatka"/>
        <w:tblW w:w="0" w:type="auto"/>
        <w:tblLook w:val="04A0" w:firstRow="1" w:lastRow="0" w:firstColumn="1" w:lastColumn="0" w:noHBand="0" w:noVBand="1"/>
      </w:tblPr>
      <w:tblGrid>
        <w:gridCol w:w="543"/>
        <w:gridCol w:w="1833"/>
        <w:gridCol w:w="1276"/>
        <w:gridCol w:w="1843"/>
        <w:gridCol w:w="1843"/>
        <w:gridCol w:w="1950"/>
      </w:tblGrid>
      <w:tr w:rsidR="00820AB3" w:rsidRPr="00A52EF3" w:rsidTr="00850F7E">
        <w:tc>
          <w:tcPr>
            <w:tcW w:w="0" w:type="auto"/>
            <w:vMerge w:val="restar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833" w:type="dxa"/>
            <w:vMerge w:val="restar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1276" w:type="dxa"/>
            <w:vMerge w:val="restar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3686" w:type="dxa"/>
            <w:gridSpan w:val="2"/>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w:t>
            </w:r>
          </w:p>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poszczególnych czasów</w:t>
            </w:r>
          </w:p>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uśredniania stężeń SO</w:t>
            </w:r>
            <w:r w:rsidRPr="00A52EF3">
              <w:rPr>
                <w:rFonts w:ascii="Times New Roman" w:hAnsi="Times New Roman" w:cs="Times New Roman"/>
                <w:sz w:val="24"/>
                <w:szCs w:val="24"/>
                <w:vertAlign w:val="subscript"/>
              </w:rPr>
              <w:t>2</w:t>
            </w:r>
          </w:p>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(klasyfikacja wg parametrów)</w:t>
            </w:r>
          </w:p>
        </w:tc>
        <w:tc>
          <w:tcPr>
            <w:tcW w:w="1950" w:type="dxa"/>
            <w:vMerge w:val="restar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SO</w:t>
            </w:r>
            <w:r w:rsidRPr="00A52EF3">
              <w:rPr>
                <w:rFonts w:ascii="Times New Roman" w:hAnsi="Times New Roman" w:cs="Times New Roman"/>
                <w:sz w:val="24"/>
                <w:szCs w:val="24"/>
                <w:vertAlign w:val="subscript"/>
              </w:rPr>
              <w:t>2</w:t>
            </w:r>
          </w:p>
        </w:tc>
      </w:tr>
      <w:tr w:rsidR="00820AB3" w:rsidRPr="00A52EF3" w:rsidTr="00850F7E">
        <w:tc>
          <w:tcPr>
            <w:tcW w:w="0" w:type="auto"/>
            <w:vMerge/>
            <w:vAlign w:val="center"/>
          </w:tcPr>
          <w:p w:rsidR="00820AB3" w:rsidRPr="00A52EF3" w:rsidRDefault="00820AB3" w:rsidP="00F25FCA">
            <w:pPr>
              <w:spacing w:line="360" w:lineRule="auto"/>
              <w:jc w:val="center"/>
              <w:rPr>
                <w:rFonts w:ascii="Times New Roman" w:hAnsi="Times New Roman" w:cs="Times New Roman"/>
                <w:sz w:val="24"/>
                <w:szCs w:val="24"/>
              </w:rPr>
            </w:pPr>
          </w:p>
        </w:tc>
        <w:tc>
          <w:tcPr>
            <w:tcW w:w="1833" w:type="dxa"/>
            <w:vMerge/>
            <w:vAlign w:val="center"/>
          </w:tcPr>
          <w:p w:rsidR="00820AB3" w:rsidRPr="00A52EF3" w:rsidRDefault="00820AB3" w:rsidP="00F25FCA">
            <w:pPr>
              <w:spacing w:line="360" w:lineRule="auto"/>
              <w:jc w:val="center"/>
              <w:rPr>
                <w:rFonts w:ascii="Times New Roman" w:hAnsi="Times New Roman" w:cs="Times New Roman"/>
                <w:sz w:val="24"/>
                <w:szCs w:val="24"/>
              </w:rPr>
            </w:pPr>
          </w:p>
        </w:tc>
        <w:tc>
          <w:tcPr>
            <w:tcW w:w="1276" w:type="dxa"/>
            <w:vMerge/>
            <w:vAlign w:val="center"/>
          </w:tcPr>
          <w:p w:rsidR="00820AB3" w:rsidRPr="00A52EF3" w:rsidRDefault="00820AB3" w:rsidP="00F25FCA">
            <w:pPr>
              <w:spacing w:line="360" w:lineRule="auto"/>
              <w:jc w:val="center"/>
              <w:rPr>
                <w:rFonts w:ascii="Times New Roman" w:hAnsi="Times New Roman" w:cs="Times New Roman"/>
                <w:sz w:val="24"/>
                <w:szCs w:val="24"/>
              </w:rPr>
            </w:pP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godz.</w:t>
            </w: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 xml:space="preserve">24 godz. </w:t>
            </w:r>
          </w:p>
        </w:tc>
        <w:tc>
          <w:tcPr>
            <w:tcW w:w="1950" w:type="dxa"/>
            <w:vMerge/>
            <w:vAlign w:val="center"/>
          </w:tcPr>
          <w:p w:rsidR="00820AB3" w:rsidRPr="00A52EF3" w:rsidRDefault="00820AB3" w:rsidP="00F25FCA">
            <w:pPr>
              <w:spacing w:line="360" w:lineRule="auto"/>
              <w:jc w:val="center"/>
              <w:rPr>
                <w:rFonts w:ascii="Times New Roman" w:hAnsi="Times New Roman" w:cs="Times New Roman"/>
                <w:sz w:val="24"/>
                <w:szCs w:val="24"/>
              </w:rPr>
            </w:pPr>
          </w:p>
        </w:tc>
      </w:tr>
      <w:tr w:rsidR="00820AB3" w:rsidRPr="00A52EF3" w:rsidTr="00850F7E">
        <w:tc>
          <w:tcPr>
            <w:tcW w:w="0" w:type="auto"/>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83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1276"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r w:rsidR="00820AB3" w:rsidRPr="00A52EF3" w:rsidTr="00850F7E">
        <w:tc>
          <w:tcPr>
            <w:tcW w:w="0" w:type="auto"/>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83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1276"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843"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bl>
    <w:p w:rsidR="00820AB3" w:rsidRPr="00A52EF3" w:rsidRDefault="00820AB3"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lastRenderedPageBreak/>
        <w:t>Ołów</w:t>
      </w:r>
    </w:p>
    <w:p w:rsidR="00820AB3" w:rsidRPr="00A52EF3" w:rsidRDefault="00820AB3"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Obie strefy ocenione zostały jako spełniające wymogi klasy A z uwagi na nie przekraczanie wartości kryterialnej stężenia odnoszącego się do rocznego uśredniania wyników pomiarów. W ocenie wykorzystano wyniki pomiarów ze stanowiska pomiarowego zlokalizowanego w Kielcach przy ul. Jagiellońskiej. Do oceny strefy świętokrzyskiej zastosowano inne metody takie jak analogia do wyników pomiarów uzyskanych w strefie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m. Kielce. Średnie roczne stężenie ołowiu wynosiło 0,04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co odpowiada 8% dopuszczalnej normy określonej na poziomie 0,5μg/m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477692" w:rsidRPr="00A52EF3" w:rsidRDefault="00477692" w:rsidP="00F25FCA">
      <w:pPr>
        <w:spacing w:line="360" w:lineRule="auto"/>
        <w:ind w:firstLine="708"/>
        <w:jc w:val="both"/>
        <w:rPr>
          <w:rFonts w:ascii="Times New Roman" w:hAnsi="Times New Roman" w:cs="Times New Roman"/>
          <w:sz w:val="24"/>
          <w:szCs w:val="24"/>
        </w:rPr>
      </w:pPr>
    </w:p>
    <w:tbl>
      <w:tblPr>
        <w:tblStyle w:val="Tabela-Siatka"/>
        <w:tblW w:w="5000" w:type="pct"/>
        <w:tblLook w:val="04A0" w:firstRow="1" w:lastRow="0" w:firstColumn="1" w:lastColumn="0" w:noHBand="0" w:noVBand="1"/>
      </w:tblPr>
      <w:tblGrid>
        <w:gridCol w:w="799"/>
        <w:gridCol w:w="3208"/>
        <w:gridCol w:w="1817"/>
        <w:gridCol w:w="3464"/>
      </w:tblGrid>
      <w:tr w:rsidR="00820AB3" w:rsidRPr="00A52EF3" w:rsidTr="00850F7E">
        <w:tc>
          <w:tcPr>
            <w:tcW w:w="430"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727"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978"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1865"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Pb</w:t>
            </w:r>
          </w:p>
        </w:tc>
      </w:tr>
      <w:tr w:rsidR="00820AB3" w:rsidRPr="00A52EF3" w:rsidTr="00850F7E">
        <w:tc>
          <w:tcPr>
            <w:tcW w:w="430"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727"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978"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65"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r w:rsidR="00820AB3" w:rsidRPr="00A52EF3" w:rsidTr="00850F7E">
        <w:tc>
          <w:tcPr>
            <w:tcW w:w="430"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727"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978"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65" w:type="pct"/>
            <w:vAlign w:val="center"/>
          </w:tcPr>
          <w:p w:rsidR="00820AB3" w:rsidRPr="00A52EF3" w:rsidRDefault="00820AB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bl>
    <w:p w:rsidR="00AE756A" w:rsidRPr="00A52EF3" w:rsidRDefault="00AE756A" w:rsidP="00881557">
      <w:pPr>
        <w:spacing w:line="360" w:lineRule="auto"/>
        <w:jc w:val="both"/>
        <w:rPr>
          <w:rFonts w:ascii="Times New Roman" w:hAnsi="Times New Roman" w:cs="Times New Roman"/>
          <w:sz w:val="24"/>
          <w:szCs w:val="24"/>
        </w:rPr>
      </w:pPr>
    </w:p>
    <w:p w:rsidR="00820AB3" w:rsidRPr="00A52EF3" w:rsidRDefault="00820AB3"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Pył zawieszony PM10</w:t>
      </w:r>
    </w:p>
    <w:p w:rsidR="00820AB3"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W ocenie wykorzystano wyniki pomiarów pyłu zawieszonego z 5 stanowisk pomiarowych, na których pył PM10 mierzony był referencyjną metodą manualną grawimetryczną. Ponadto wyniki pomiarów z 3 stanowisk automatycznych pyłu PM10, zlokalizowane w strefie świętokrzyskiej (w Nowinach, Połańcu i Małogoszczu), pomimo niereferencyjnej metody pomiaru zostały wykorzystane w ocenie i uwzględniono je do wstępnego wyznaczenia obszarów przekroczeń. Dla strefy obejmującej miasto Kielce ustalono klasę C w związku z występowaniem przekroczeń poziomu dopuszczalnego dla stężeń 24-godzinnych pyłu PM10 - po uwzględnieniu dozwolonych częstości przekroczeń określonych RMŚ w sprawie poziomów niektórych substancji w powietrzu. Nie przekroczony natomiast został poziom dopuszczalny dla stężenia średniorocznego na terenie Kielc. Strefie świętokrzyskiej również przyporządkowano klasę C, ze względu na przekroczenia poziomu dopuszczalnego dla stężeń 24-godzinnych pyłu PM10.</w:t>
      </w:r>
    </w:p>
    <w:p w:rsidR="00477692" w:rsidRPr="00A52EF3" w:rsidRDefault="00477692" w:rsidP="002C1963">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543"/>
        <w:gridCol w:w="1833"/>
        <w:gridCol w:w="1276"/>
        <w:gridCol w:w="1843"/>
        <w:gridCol w:w="1843"/>
        <w:gridCol w:w="1950"/>
      </w:tblGrid>
      <w:tr w:rsidR="00F32CF2" w:rsidRPr="00A52EF3" w:rsidTr="00850F7E">
        <w:tc>
          <w:tcPr>
            <w:tcW w:w="0" w:type="auto"/>
            <w:vMerge w:val="restart"/>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lastRenderedPageBreak/>
              <w:t>Lp.</w:t>
            </w:r>
          </w:p>
        </w:tc>
        <w:tc>
          <w:tcPr>
            <w:tcW w:w="1833" w:type="dxa"/>
            <w:vMerge w:val="restart"/>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1276" w:type="dxa"/>
            <w:vMerge w:val="restart"/>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3686" w:type="dxa"/>
            <w:gridSpan w:val="2"/>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w:t>
            </w:r>
          </w:p>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poszczególnych czasów</w:t>
            </w:r>
          </w:p>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uśredniania stężeń PM10</w:t>
            </w:r>
          </w:p>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(klasyfikacja wg parametrów)</w:t>
            </w:r>
          </w:p>
        </w:tc>
        <w:tc>
          <w:tcPr>
            <w:tcW w:w="1950" w:type="dxa"/>
            <w:vMerge w:val="restart"/>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PM10</w:t>
            </w:r>
          </w:p>
        </w:tc>
      </w:tr>
      <w:tr w:rsidR="00F32CF2" w:rsidRPr="00A52EF3" w:rsidTr="00850F7E">
        <w:tc>
          <w:tcPr>
            <w:tcW w:w="0" w:type="auto"/>
            <w:vMerge/>
            <w:vAlign w:val="center"/>
          </w:tcPr>
          <w:p w:rsidR="00F32CF2" w:rsidRPr="00A52EF3" w:rsidRDefault="00F32CF2" w:rsidP="00F25FCA">
            <w:pPr>
              <w:spacing w:line="360" w:lineRule="auto"/>
              <w:jc w:val="center"/>
              <w:rPr>
                <w:rFonts w:ascii="Times New Roman" w:hAnsi="Times New Roman" w:cs="Times New Roman"/>
                <w:sz w:val="24"/>
                <w:szCs w:val="24"/>
              </w:rPr>
            </w:pPr>
          </w:p>
        </w:tc>
        <w:tc>
          <w:tcPr>
            <w:tcW w:w="1833" w:type="dxa"/>
            <w:vMerge/>
            <w:vAlign w:val="center"/>
          </w:tcPr>
          <w:p w:rsidR="00F32CF2" w:rsidRPr="00A52EF3" w:rsidRDefault="00F32CF2" w:rsidP="00F25FCA">
            <w:pPr>
              <w:spacing w:line="360" w:lineRule="auto"/>
              <w:jc w:val="center"/>
              <w:rPr>
                <w:rFonts w:ascii="Times New Roman" w:hAnsi="Times New Roman" w:cs="Times New Roman"/>
                <w:sz w:val="24"/>
                <w:szCs w:val="24"/>
              </w:rPr>
            </w:pPr>
          </w:p>
        </w:tc>
        <w:tc>
          <w:tcPr>
            <w:tcW w:w="1276" w:type="dxa"/>
            <w:vMerge/>
            <w:vAlign w:val="center"/>
          </w:tcPr>
          <w:p w:rsidR="00F32CF2" w:rsidRPr="00A52EF3" w:rsidRDefault="00F32CF2" w:rsidP="00F25FCA">
            <w:pPr>
              <w:spacing w:line="360" w:lineRule="auto"/>
              <w:jc w:val="center"/>
              <w:rPr>
                <w:rFonts w:ascii="Times New Roman" w:hAnsi="Times New Roman" w:cs="Times New Roman"/>
                <w:sz w:val="24"/>
                <w:szCs w:val="24"/>
              </w:rPr>
            </w:pP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godz.</w:t>
            </w: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rok</w:t>
            </w:r>
          </w:p>
        </w:tc>
        <w:tc>
          <w:tcPr>
            <w:tcW w:w="1950" w:type="dxa"/>
            <w:vMerge/>
            <w:vAlign w:val="center"/>
          </w:tcPr>
          <w:p w:rsidR="00F32CF2" w:rsidRPr="00A52EF3" w:rsidRDefault="00F32CF2" w:rsidP="00F25FCA">
            <w:pPr>
              <w:spacing w:line="360" w:lineRule="auto"/>
              <w:jc w:val="center"/>
              <w:rPr>
                <w:rFonts w:ascii="Times New Roman" w:hAnsi="Times New Roman" w:cs="Times New Roman"/>
                <w:sz w:val="24"/>
                <w:szCs w:val="24"/>
              </w:rPr>
            </w:pPr>
          </w:p>
        </w:tc>
      </w:tr>
      <w:tr w:rsidR="00F32CF2" w:rsidRPr="00A52EF3" w:rsidTr="00850F7E">
        <w:tc>
          <w:tcPr>
            <w:tcW w:w="0" w:type="auto"/>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83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1276"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r>
      <w:tr w:rsidR="00F32CF2" w:rsidRPr="00A52EF3" w:rsidTr="00850F7E">
        <w:tc>
          <w:tcPr>
            <w:tcW w:w="0" w:type="auto"/>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83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1276"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c>
          <w:tcPr>
            <w:tcW w:w="1843"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950" w:type="dxa"/>
            <w:vAlign w:val="center"/>
          </w:tcPr>
          <w:p w:rsidR="00F32CF2" w:rsidRPr="00A52EF3" w:rsidRDefault="00F32CF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r>
    </w:tbl>
    <w:p w:rsidR="00F32CF2" w:rsidRPr="00A52EF3" w:rsidRDefault="00F32CF2" w:rsidP="00F25FCA">
      <w:pPr>
        <w:spacing w:line="360" w:lineRule="auto"/>
        <w:ind w:firstLine="708"/>
        <w:jc w:val="both"/>
        <w:rPr>
          <w:rFonts w:ascii="Times New Roman" w:hAnsi="Times New Roman" w:cs="Times New Roman"/>
          <w:sz w:val="24"/>
          <w:szCs w:val="24"/>
        </w:rPr>
      </w:pP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Uzasadnieniem dokonanej oceny jakości powietrza w zakresie zanieczyszczenia pyłem zawieszonym PM10 są następujące ilości przekroczeń norm:</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b/>
          <w:bCs/>
          <w:sz w:val="24"/>
          <w:szCs w:val="24"/>
        </w:rPr>
        <w:t xml:space="preserve">- dla strefy miasta Kielce </w:t>
      </w:r>
      <w:r w:rsidRPr="00A52EF3">
        <w:rPr>
          <w:rFonts w:ascii="Times New Roman" w:hAnsi="Times New Roman" w:cs="Times New Roman"/>
          <w:sz w:val="24"/>
          <w:szCs w:val="24"/>
        </w:rPr>
        <w:t>- 66 wyników z przekroczeniami na 35 dozwolonych, na stanowisku pomiarowym w Kielcach, zlokalizowanym przy ul. Jagiellońskiej. Wartość średniej rocznej dla pyłu PM10 (40μg/m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nie została przekroczona na tym stanowisku, gdyż wynosiła 37μg/m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Potwierdzeniem dla przyznania strefie miasta Kielce klasy C, jest również 45 przekroczeń dobowego poziomu pyłu, które wystąpiły, na stacji tła podmiejskiego przy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ul. Kusocińskiego w Kielcach. Średnia roczna wartość pyłu na tym stanowisku również nie przekroczyła normy i wynosiła 30μg/m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b/>
          <w:bCs/>
          <w:sz w:val="24"/>
          <w:szCs w:val="24"/>
        </w:rPr>
        <w:t xml:space="preserve">- dla strefy świętokrzyskiej </w:t>
      </w:r>
      <w:r w:rsidRPr="00A52EF3">
        <w:rPr>
          <w:rFonts w:ascii="Times New Roman" w:hAnsi="Times New Roman" w:cs="Times New Roman"/>
          <w:sz w:val="24"/>
          <w:szCs w:val="24"/>
        </w:rPr>
        <w:t>– o zakwalifikowaniu strefy do klasy C zadecydowały wyniki pomiarów na stacji w Starachowicach, gdzie wartości dopuszczalne obowiązujące dla stężeń 24-godzinnych zostały przekroczone w 49 dobach w roku. Średnia roczna wartość pyłu PM10 na tym stanowisku wynosiła 30μg/m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Klasę strefy potwierdziły ilości przekroczeń dobowego poziomu dopuszczalnego, które miały miejsce na pozostałych stanowiskach manualnych (w Ożarowie – 44 doby,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 xml:space="preserve">w Busku-Zdroju - 38 dób) oraz na stacjach automatycznych (w Nowinach - 80 dób,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 Połańcu – 57 dób, w Małogoszczu – 40 dób). Wyniki poddane analizie z wszystkich stanowisk w strefie nie przekraczały normy średniej rocznej.</w:t>
      </w:r>
    </w:p>
    <w:p w:rsidR="00477692" w:rsidRPr="00A52EF3" w:rsidRDefault="00477692" w:rsidP="00F25FCA">
      <w:pPr>
        <w:spacing w:line="360" w:lineRule="auto"/>
        <w:ind w:firstLine="708"/>
        <w:jc w:val="both"/>
        <w:rPr>
          <w:rFonts w:ascii="Times New Roman" w:hAnsi="Times New Roman" w:cs="Times New Roman"/>
          <w:sz w:val="24"/>
          <w:szCs w:val="24"/>
        </w:rPr>
      </w:pP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Na stanowiskach pomiarowych, z których wyniki zadecydowały o klasach C dla obu stref, pomiary pyłu zawieszonego PM10 prowadzone są manualną metodą wagową, zgodnie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z metodyką referencyjną. Spełniona jest również coroczna prawidłowość, że dobowe stężenia pyłu przekraczające poziom dopuszczalny wykazują znaczne zróżnicowanie sezonowe stężeń – wyższe wartości charakteryzują okres grzewczy.</w:t>
      </w:r>
    </w:p>
    <w:p w:rsidR="00F32CF2" w:rsidRPr="00A52EF3" w:rsidRDefault="00F32CF2"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Pył zawieszony PM2,5</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Oceny rocznej pod kątem pyłu PM2,5 dokonano w odniesieniu do poziomu dopuszczalnego dla fazy I (25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oraz dodatkowo dla poziomu dopuszczalnego dla fazy II wynoszącego 20μg/m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który musi zostać osiągnięty do 2020 roku. W ocenie wykorzystano wyniki pomiarów pyłu PM2,5 łącznie z 3 stanowisk pomiarowych, na których pomiar wykonywany jest manualną metodą wagową, zgodnie z metodyką referencyjną –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 xml:space="preserve">1 stanowisko w strefie miasta Kielce przy ul. Jagiellońskiej, 2 stanowiska zlokalizowane na terenie strefy świętokrzyskiej: w Starachowicach oraz w Busku- Zdroju. </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Wyniki pomiarów ze stanowisk automatycznych pyłu PM2,5 w dużej strefie, nie zostały wykorzystane w ocenie, gdyż automatyczna metoda pomiaru nie jest zgodna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 xml:space="preserve">z referencyjną, a wyniki te nie mogą decydować o klasie strefy. </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Strefie obejmującej miasto Kielce nadano klasę C w związku z przekroczeniem poziomu dopuszczalnego określonego dla fazy I. Strefa świętokrzyska otrzymała klasę A, ze względu na dotrzymanie tej normy. </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Średnie roczne stężenie pyłu PM2,5, które zadecydowało o klasie C dla strefy miasta Kielce, wynosiło 26μg/m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o 1μg/m3 przekroczyło poziom dopuszczalny. Strefie świętokrzyskiej nadano klasę A, o czym zadecydowały wyniki uzyskane na stanowiskach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 Starachowicach i Busku-Zdroju, gdzie średnie roczne stężenia pyłu PM2,5 wynosiły odpowiednio: 22μg/m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21μg/m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nie przekroczyły dopuszczalnego poziomu 25μg/m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F32CF2" w:rsidRPr="00A52EF3" w:rsidRDefault="00F32CF2"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Jednocześnie w wyniku oceny pod względem dotrzymywania poziomu dopuszczalnego pyłu PM2,5 dla fazy II, obie strefy uzyskały klasę C1.</w:t>
      </w:r>
    </w:p>
    <w:p w:rsidR="005F4AFF" w:rsidRPr="00A52EF3" w:rsidRDefault="005F4AFF" w:rsidP="00477692">
      <w:pPr>
        <w:spacing w:line="360" w:lineRule="auto"/>
        <w:jc w:val="both"/>
        <w:rPr>
          <w:rFonts w:ascii="Times New Roman" w:hAnsi="Times New Roman" w:cs="Times New Roman"/>
          <w:sz w:val="24"/>
          <w:szCs w:val="24"/>
        </w:rPr>
      </w:pPr>
    </w:p>
    <w:tbl>
      <w:tblPr>
        <w:tblStyle w:val="Tabela-Siatka"/>
        <w:tblW w:w="5000" w:type="pct"/>
        <w:tblLook w:val="04A0" w:firstRow="1" w:lastRow="0" w:firstColumn="1" w:lastColumn="0" w:noHBand="0" w:noVBand="1"/>
      </w:tblPr>
      <w:tblGrid>
        <w:gridCol w:w="568"/>
        <w:gridCol w:w="2285"/>
        <w:gridCol w:w="1293"/>
        <w:gridCol w:w="2571"/>
        <w:gridCol w:w="2571"/>
      </w:tblGrid>
      <w:tr w:rsidR="005F4AFF" w:rsidRPr="00A52EF3" w:rsidTr="005F4AFF">
        <w:tc>
          <w:tcPr>
            <w:tcW w:w="30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lastRenderedPageBreak/>
              <w:t>Lp.</w:t>
            </w:r>
          </w:p>
        </w:tc>
        <w:tc>
          <w:tcPr>
            <w:tcW w:w="12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69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pod względem</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dotrzymania poziomu</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dopuszczalnego PM2,5</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faza I</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pod względem</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dotrzymania poziomu</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dopuszczalnego PM2,5</w:t>
            </w:r>
          </w:p>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faza II</w:t>
            </w:r>
          </w:p>
        </w:tc>
      </w:tr>
      <w:tr w:rsidR="005F4AFF" w:rsidRPr="00A52EF3" w:rsidTr="005F4AFF">
        <w:tc>
          <w:tcPr>
            <w:tcW w:w="30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2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69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C1</w:t>
            </w:r>
          </w:p>
        </w:tc>
      </w:tr>
      <w:tr w:rsidR="005F4AFF" w:rsidRPr="00A52EF3" w:rsidTr="005F4AFF">
        <w:tc>
          <w:tcPr>
            <w:tcW w:w="30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2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696"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384"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C1</w:t>
            </w:r>
          </w:p>
        </w:tc>
      </w:tr>
    </w:tbl>
    <w:p w:rsidR="00F32CF2" w:rsidRPr="00A52EF3" w:rsidRDefault="00F32CF2" w:rsidP="00F25FCA">
      <w:pPr>
        <w:spacing w:line="360" w:lineRule="auto"/>
        <w:jc w:val="both"/>
        <w:rPr>
          <w:rFonts w:ascii="Times New Roman" w:hAnsi="Times New Roman" w:cs="Times New Roman"/>
          <w:sz w:val="24"/>
          <w:szCs w:val="24"/>
        </w:rPr>
      </w:pPr>
    </w:p>
    <w:p w:rsidR="005F4AFF" w:rsidRPr="00A52EF3" w:rsidRDefault="005F4AFF"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t>Tlenek węgla</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Obie strefy ocenione zostały jako spełniające wymogi klasy A z uwagi na nie przekraczanie wartości kryterialnej stężeń wyrażanej jako maksymalna średni ośmiogodzinna, spośród średnich kroczących, obliczanych co godzinę z ośmiu średnich jednogodzinnych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 ciągu doby. W ocenie wykorzystano wyniki pomiarów ze stanowiska pomiarowego funkcjonującego w centralnej części miasta Kielce przy ul. Jagiellońskiej oraz ze stanowiska w Połańcu przy ul. Ruszczańskiej. Zarejestrowana w 2015 roku wartość maksymalnej średniej 8-godzinnej na stacji pomiarowej w Kielcach wynosiła 5mg/m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a w Połańcu 2mg/m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czyli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 obu strefach norma została dotrzymana.</w:t>
      </w:r>
    </w:p>
    <w:tbl>
      <w:tblPr>
        <w:tblStyle w:val="Tabela-Siatka"/>
        <w:tblW w:w="5000" w:type="pct"/>
        <w:tblLook w:val="04A0" w:firstRow="1" w:lastRow="0" w:firstColumn="1" w:lastColumn="0" w:noHBand="0" w:noVBand="1"/>
      </w:tblPr>
      <w:tblGrid>
        <w:gridCol w:w="799"/>
        <w:gridCol w:w="3208"/>
        <w:gridCol w:w="1817"/>
        <w:gridCol w:w="3464"/>
      </w:tblGrid>
      <w:tr w:rsidR="005F4AFF" w:rsidRPr="00A52EF3" w:rsidTr="00850F7E">
        <w:tc>
          <w:tcPr>
            <w:tcW w:w="4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727"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978"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1865"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 dla CO</w:t>
            </w:r>
          </w:p>
        </w:tc>
      </w:tr>
      <w:tr w:rsidR="005F4AFF" w:rsidRPr="00A52EF3" w:rsidTr="00850F7E">
        <w:tc>
          <w:tcPr>
            <w:tcW w:w="4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727"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978"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865"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r w:rsidR="005F4AFF" w:rsidRPr="00A52EF3" w:rsidTr="00850F7E">
        <w:tc>
          <w:tcPr>
            <w:tcW w:w="430"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727"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978"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865" w:type="pct"/>
            <w:vAlign w:val="center"/>
          </w:tcPr>
          <w:p w:rsidR="005F4AFF" w:rsidRPr="00A52EF3" w:rsidRDefault="005F4AFF"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r>
    </w:tbl>
    <w:p w:rsidR="005F4AFF" w:rsidRPr="00A52EF3" w:rsidRDefault="005F4AFF" w:rsidP="00F25FCA">
      <w:pPr>
        <w:spacing w:line="360" w:lineRule="auto"/>
        <w:ind w:firstLine="708"/>
        <w:jc w:val="both"/>
        <w:rPr>
          <w:rFonts w:ascii="Times New Roman" w:hAnsi="Times New Roman" w:cs="Times New Roman"/>
          <w:sz w:val="24"/>
          <w:szCs w:val="24"/>
        </w:rPr>
      </w:pPr>
    </w:p>
    <w:p w:rsidR="005F4AFF" w:rsidRPr="00A52EF3" w:rsidRDefault="005F4AFF" w:rsidP="00F25FCA">
      <w:pPr>
        <w:spacing w:line="360" w:lineRule="auto"/>
        <w:ind w:firstLine="708"/>
        <w:jc w:val="both"/>
        <w:rPr>
          <w:rFonts w:ascii="Times New Roman" w:hAnsi="Times New Roman" w:cs="Times New Roman"/>
          <w:b/>
          <w:bCs/>
          <w:i/>
          <w:iCs/>
          <w:sz w:val="24"/>
          <w:szCs w:val="24"/>
        </w:rPr>
      </w:pPr>
      <w:r w:rsidRPr="00A52EF3">
        <w:rPr>
          <w:rFonts w:ascii="Times New Roman" w:hAnsi="Times New Roman" w:cs="Times New Roman"/>
          <w:b/>
          <w:bCs/>
          <w:i/>
          <w:iCs/>
          <w:sz w:val="24"/>
          <w:szCs w:val="24"/>
        </w:rPr>
        <w:t>Arsen, kadm, nikiel, benzo(a)piren</w:t>
      </w:r>
    </w:p>
    <w:p w:rsidR="005F4AFF" w:rsidRPr="00A52EF3" w:rsidRDefault="0005243B"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O</w:t>
      </w:r>
      <w:r w:rsidR="005F4AFF" w:rsidRPr="00A52EF3">
        <w:rPr>
          <w:rFonts w:ascii="Times New Roman" w:hAnsi="Times New Roman" w:cs="Times New Roman"/>
          <w:sz w:val="24"/>
          <w:szCs w:val="24"/>
        </w:rPr>
        <w:t xml:space="preserve">cenie rocznej poddano benzo(a)piren jako wskaźnik WWA oraz metale: arsen, kadm i nikiel w pyle zawieszonym PM10. Substancje te objęte są dyrektywą 2004/107/WE, </w:t>
      </w:r>
      <w:r w:rsidRPr="00A52EF3">
        <w:rPr>
          <w:rFonts w:ascii="Times New Roman" w:hAnsi="Times New Roman" w:cs="Times New Roman"/>
          <w:sz w:val="24"/>
          <w:szCs w:val="24"/>
        </w:rPr>
        <w:br/>
      </w:r>
      <w:r w:rsidR="005F4AFF" w:rsidRPr="00A52EF3">
        <w:rPr>
          <w:rFonts w:ascii="Times New Roman" w:hAnsi="Times New Roman" w:cs="Times New Roman"/>
          <w:sz w:val="24"/>
          <w:szCs w:val="24"/>
        </w:rPr>
        <w:t>a poziomy docelowe określono dla nich jako średnie roczne i w rozumieniu dyrektywy są one poziomami ustalonymi w celu unikania dalszego długoterminowego szkodliwego oddziaływania na zdrowie ludzkie i/lub środowisko jako całość. Poziomy docelowe miały być osiągnięte w 2013 roku tam, gdzie jest to możliwe technicznie i ekonomicznie uzasadnione.</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lastRenderedPageBreak/>
        <w:t xml:space="preserve">W zakresie zanieczyszczenia metalami obie strefy ocenione zostały jako spełniające wymogi klasy A z uwagi na nie przekraczanie wartości poziomów docelowych. </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W ocenie arsenu, kadmu i niklu dla strefy miasta Kielce wykorzystano wyniki pomiarów ze stanowisk pomiarowych zlokalizowanych w Kielcach przy ul. Jagiellońskiej. Do oceny strefy świętokrzyskiej zastosowano inne metody takie jak analogia do wyników pomiarów uzyskanych w strefie m. Kielce. </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Średnie roczne stężenie arsenu wynosiło 4ng/m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co odpowiada 67% poziomu docelowego określonego na poziomie 6ng/m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Średnie roczne stężenie kadmu wynosiło 1ng/m3, co odpowiednio stanowi 20% poziomu docelowego określonego na poziomie 5ng/m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460DFA"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Średnie roczne stężenie niklu wynosiło 4ng/m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co odpowiednio stanowi 20% poziomu docelowego określonego na poziomie 20ng/m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460DFA"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Pod względem zanieczyszczenia powietrza benzo(a)pirenem, strefie miasta Kielce</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nadano status klasy C. Podstawą klasyfikacji były wyniki uzyskane na stanowiskach</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pomiarowych w Kielcach przy ul. Jagiellońskiej i przy ul. Kusocińskiego, gdzie średnia</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roczna wartość stężenia B(a)P wynosiła odpowiednio 6 i 5ng/m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co w znacznym stopniu</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przekroczyło poziom docelowy tego zanieczyszczenia wynoszący 1ng/m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w:t>
      </w:r>
    </w:p>
    <w:p w:rsidR="005F4AFF" w:rsidRPr="00A52EF3" w:rsidRDefault="005F4AFF"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Strefie świętokrzyskiej również nadano klasę C ze względu na zanieczyszczenie</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 xml:space="preserve">powietrza B(a)P, o czym zadecydowały wyniki pomiarów ze stacji w Starachowicach oraz </w:t>
      </w:r>
      <w:r w:rsidR="0005243B" w:rsidRPr="00A52EF3">
        <w:rPr>
          <w:rFonts w:ascii="Times New Roman" w:hAnsi="Times New Roman" w:cs="Times New Roman"/>
          <w:sz w:val="24"/>
          <w:szCs w:val="24"/>
        </w:rPr>
        <w:br/>
      </w:r>
      <w:r w:rsidRPr="00A52EF3">
        <w:rPr>
          <w:rFonts w:ascii="Times New Roman" w:hAnsi="Times New Roman" w:cs="Times New Roman"/>
          <w:sz w:val="24"/>
          <w:szCs w:val="24"/>
        </w:rPr>
        <w:t>w</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Busku-Zdroju, gdzie średnie roczne wynosiły odpowiednio 6ng/m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4ng/m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więc znacznie</w:t>
      </w:r>
      <w:r w:rsidR="00460DFA" w:rsidRPr="00A52EF3">
        <w:rPr>
          <w:rFonts w:ascii="Times New Roman" w:hAnsi="Times New Roman" w:cs="Times New Roman"/>
          <w:sz w:val="24"/>
          <w:szCs w:val="24"/>
        </w:rPr>
        <w:t xml:space="preserve"> </w:t>
      </w:r>
      <w:r w:rsidRPr="00A52EF3">
        <w:rPr>
          <w:rFonts w:ascii="Times New Roman" w:hAnsi="Times New Roman" w:cs="Times New Roman"/>
          <w:sz w:val="24"/>
          <w:szCs w:val="24"/>
        </w:rPr>
        <w:t>przekroczyły poziom docelowy.</w:t>
      </w:r>
    </w:p>
    <w:tbl>
      <w:tblPr>
        <w:tblStyle w:val="Tabela-Siatka"/>
        <w:tblW w:w="0" w:type="auto"/>
        <w:tblLook w:val="04A0" w:firstRow="1" w:lastRow="0" w:firstColumn="1" w:lastColumn="0" w:noHBand="0" w:noVBand="1"/>
      </w:tblPr>
      <w:tblGrid>
        <w:gridCol w:w="1287"/>
        <w:gridCol w:w="1589"/>
        <w:gridCol w:w="1304"/>
        <w:gridCol w:w="1277"/>
        <w:gridCol w:w="1277"/>
        <w:gridCol w:w="1277"/>
        <w:gridCol w:w="1277"/>
      </w:tblGrid>
      <w:tr w:rsidR="00460DFA" w:rsidRPr="00A52EF3" w:rsidTr="00460DFA">
        <w:tc>
          <w:tcPr>
            <w:tcW w:w="1287" w:type="dxa"/>
            <w:vMerge w:val="restar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589" w:type="dxa"/>
            <w:vMerge w:val="restar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1304" w:type="dxa"/>
            <w:vMerge w:val="restar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5108" w:type="dxa"/>
            <w:gridSpan w:val="4"/>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w:t>
            </w:r>
          </w:p>
        </w:tc>
      </w:tr>
      <w:tr w:rsidR="00460DFA" w:rsidRPr="00A52EF3" w:rsidTr="00460DFA">
        <w:tc>
          <w:tcPr>
            <w:tcW w:w="1287" w:type="dxa"/>
            <w:vMerge/>
            <w:vAlign w:val="center"/>
          </w:tcPr>
          <w:p w:rsidR="00460DFA" w:rsidRPr="00A52EF3" w:rsidRDefault="00460DFA" w:rsidP="00F25FCA">
            <w:pPr>
              <w:spacing w:line="360" w:lineRule="auto"/>
              <w:jc w:val="center"/>
              <w:rPr>
                <w:rFonts w:ascii="Times New Roman" w:hAnsi="Times New Roman" w:cs="Times New Roman"/>
                <w:sz w:val="24"/>
                <w:szCs w:val="24"/>
              </w:rPr>
            </w:pPr>
          </w:p>
        </w:tc>
        <w:tc>
          <w:tcPr>
            <w:tcW w:w="1589" w:type="dxa"/>
            <w:vMerge/>
            <w:vAlign w:val="center"/>
          </w:tcPr>
          <w:p w:rsidR="00460DFA" w:rsidRPr="00A52EF3" w:rsidRDefault="00460DFA" w:rsidP="00F25FCA">
            <w:pPr>
              <w:spacing w:line="360" w:lineRule="auto"/>
              <w:jc w:val="center"/>
              <w:rPr>
                <w:rFonts w:ascii="Times New Roman" w:hAnsi="Times New Roman" w:cs="Times New Roman"/>
                <w:sz w:val="24"/>
                <w:szCs w:val="24"/>
              </w:rPr>
            </w:pPr>
          </w:p>
        </w:tc>
        <w:tc>
          <w:tcPr>
            <w:tcW w:w="1304" w:type="dxa"/>
            <w:vMerge/>
            <w:vAlign w:val="center"/>
          </w:tcPr>
          <w:p w:rsidR="00460DFA" w:rsidRPr="00A52EF3" w:rsidRDefault="00460DFA" w:rsidP="00F25FCA">
            <w:pPr>
              <w:spacing w:line="360" w:lineRule="auto"/>
              <w:jc w:val="center"/>
              <w:rPr>
                <w:rFonts w:ascii="Times New Roman" w:hAnsi="Times New Roman" w:cs="Times New Roman"/>
                <w:sz w:val="24"/>
                <w:szCs w:val="24"/>
              </w:rPr>
            </w:pP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As</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Cd</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Ni</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B(a)P</w:t>
            </w:r>
          </w:p>
        </w:tc>
      </w:tr>
      <w:tr w:rsidR="00460DFA" w:rsidRPr="00A52EF3" w:rsidTr="00460DFA">
        <w:tc>
          <w:tcPr>
            <w:tcW w:w="128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589"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1304"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r>
      <w:tr w:rsidR="00460DFA" w:rsidRPr="00A52EF3" w:rsidTr="00460DFA">
        <w:tc>
          <w:tcPr>
            <w:tcW w:w="128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589"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1304"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277" w:type="dxa"/>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r>
    </w:tbl>
    <w:p w:rsidR="00460DFA" w:rsidRPr="00A52EF3" w:rsidRDefault="00460DFA" w:rsidP="00F25FCA">
      <w:pPr>
        <w:spacing w:line="360" w:lineRule="auto"/>
        <w:ind w:firstLine="708"/>
        <w:jc w:val="both"/>
        <w:rPr>
          <w:rFonts w:ascii="Times New Roman" w:hAnsi="Times New Roman" w:cs="Times New Roman"/>
          <w:sz w:val="24"/>
          <w:szCs w:val="24"/>
        </w:rPr>
      </w:pPr>
    </w:p>
    <w:p w:rsidR="00460DFA" w:rsidRPr="00A52EF3" w:rsidRDefault="00460DFA"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lastRenderedPageBreak/>
        <w:t>Ozon</w:t>
      </w:r>
    </w:p>
    <w:p w:rsidR="00460DFA"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Dla ozonu ze względu na ochronę zdrowia ustanowiono dwa rodzaje kryteriów: poziom docelowy wynoszący 120 g/m</w:t>
      </w:r>
      <w:r w:rsidRPr="00A52EF3">
        <w:rPr>
          <w:rFonts w:ascii="Times New Roman" w:hAnsi="Times New Roman" w:cs="Times New Roman"/>
          <w:sz w:val="24"/>
          <w:szCs w:val="24"/>
          <w:vertAlign w:val="superscript"/>
        </w:rPr>
        <w:t>3</w:t>
      </w:r>
      <w:r w:rsidRPr="00A52EF3">
        <w:rPr>
          <w:rFonts w:ascii="Times New Roman" w:hAnsi="Times New Roman" w:cs="Times New Roman"/>
          <w:sz w:val="24"/>
          <w:szCs w:val="24"/>
        </w:rPr>
        <w:t xml:space="preserve"> i odnoszony do wartości maksymalnej średniej ośmiogodzinnej w dobie, który nie powinien być przekroczony w ponad 25 dobach w roku kalendarzowym, oraz poziom celu długoterminowego, który określa to samo stężenie ozonu, co poziom docelowy, jednak nie powinien być przekroczony w żadnej dobie w roku kalendarzowym. </w:t>
      </w:r>
    </w:p>
    <w:p w:rsidR="00460DFA"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Strefę miasta Kielce pod względem dotrzymania poziomu docelowego ozonu zaliczono do klasy A, natomiast dla kryterium odniesienia do poziomu celu długoterminowego oceniono jako niespełniającą wymogu i nadano status klasy D2. Uzasadnieniem nadania strefie klasy A i D2 jest fakt, że na terenie Kielc dopuszczalna częstość przekraczania poziomu docelowego została zachowana (średnia z lat 2014-2015 wynosiła 15 dni z przekroczeniami na 25 dozwolonych), natomiast poziom celu długoterminowego został przekroczony.</w:t>
      </w:r>
    </w:p>
    <w:p w:rsidR="00460DFA"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Strefę świętokrzyską oceniono na podstawie pomiarów ozonu prowadzonych na stacji pomiarowej w Połańcu. Strefa ta została sklasyfikowana jako A i D2. W Połańcu w latach 2013-2015 wystąpiło średnio 20 dób z przekroczeniem poziomu docelowego ozonu, czyli poziom docelowy został dotrzymany, a cel długoterminowy przekroczony.</w:t>
      </w:r>
    </w:p>
    <w:tbl>
      <w:tblPr>
        <w:tblStyle w:val="Tabela-Siatka"/>
        <w:tblW w:w="5000" w:type="pct"/>
        <w:tblLook w:val="04A0" w:firstRow="1" w:lastRow="0" w:firstColumn="1" w:lastColumn="0" w:noHBand="0" w:noVBand="1"/>
      </w:tblPr>
      <w:tblGrid>
        <w:gridCol w:w="583"/>
        <w:gridCol w:w="2341"/>
        <w:gridCol w:w="1326"/>
        <w:gridCol w:w="2170"/>
        <w:gridCol w:w="2868"/>
      </w:tblGrid>
      <w:tr w:rsidR="00460DFA" w:rsidRPr="00A52EF3" w:rsidTr="00460DFA">
        <w:tc>
          <w:tcPr>
            <w:tcW w:w="3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Lp.</w:t>
            </w:r>
          </w:p>
        </w:tc>
        <w:tc>
          <w:tcPr>
            <w:tcW w:w="1260"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Nazwa strefy</w:t>
            </w:r>
          </w:p>
        </w:tc>
        <w:tc>
          <w:tcPr>
            <w:tcW w:w="7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Kod strefy</w:t>
            </w:r>
          </w:p>
        </w:tc>
        <w:tc>
          <w:tcPr>
            <w:tcW w:w="1168"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w:t>
            </w:r>
          </w:p>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według poziomu</w:t>
            </w:r>
          </w:p>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docelowego ozonu</w:t>
            </w:r>
          </w:p>
        </w:tc>
        <w:tc>
          <w:tcPr>
            <w:tcW w:w="1545"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Klasa strefy</w:t>
            </w:r>
          </w:p>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wg poziomu celu</w:t>
            </w:r>
          </w:p>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długoterminowego ozonu</w:t>
            </w:r>
          </w:p>
        </w:tc>
      </w:tr>
      <w:tr w:rsidR="00460DFA" w:rsidRPr="00A52EF3" w:rsidTr="00460DFA">
        <w:tc>
          <w:tcPr>
            <w:tcW w:w="3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w:t>
            </w:r>
          </w:p>
        </w:tc>
        <w:tc>
          <w:tcPr>
            <w:tcW w:w="1260"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miasto Kielce</w:t>
            </w:r>
          </w:p>
        </w:tc>
        <w:tc>
          <w:tcPr>
            <w:tcW w:w="7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PL2601</w:t>
            </w:r>
          </w:p>
        </w:tc>
        <w:tc>
          <w:tcPr>
            <w:tcW w:w="1168"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C</w:t>
            </w:r>
          </w:p>
        </w:tc>
        <w:tc>
          <w:tcPr>
            <w:tcW w:w="1545"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D2</w:t>
            </w:r>
          </w:p>
        </w:tc>
      </w:tr>
      <w:tr w:rsidR="00460DFA" w:rsidRPr="00A52EF3" w:rsidTr="00460DFA">
        <w:tc>
          <w:tcPr>
            <w:tcW w:w="3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w:t>
            </w:r>
          </w:p>
        </w:tc>
        <w:tc>
          <w:tcPr>
            <w:tcW w:w="1260"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strefa świętokrzyska</w:t>
            </w:r>
          </w:p>
        </w:tc>
        <w:tc>
          <w:tcPr>
            <w:tcW w:w="714"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PL2602</w:t>
            </w:r>
          </w:p>
        </w:tc>
        <w:tc>
          <w:tcPr>
            <w:tcW w:w="1168"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A</w:t>
            </w:r>
          </w:p>
        </w:tc>
        <w:tc>
          <w:tcPr>
            <w:tcW w:w="1545" w:type="pct"/>
            <w:vAlign w:val="center"/>
          </w:tcPr>
          <w:p w:rsidR="00460DFA" w:rsidRPr="00A52EF3" w:rsidRDefault="00460DF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D2</w:t>
            </w:r>
          </w:p>
        </w:tc>
      </w:tr>
    </w:tbl>
    <w:p w:rsidR="00460DFA" w:rsidRPr="00A52EF3" w:rsidRDefault="00460DFA" w:rsidP="00F25FCA">
      <w:pPr>
        <w:spacing w:line="360" w:lineRule="auto"/>
        <w:ind w:firstLine="708"/>
        <w:jc w:val="both"/>
        <w:rPr>
          <w:rFonts w:ascii="Times New Roman" w:hAnsi="Times New Roman" w:cs="Times New Roman"/>
          <w:sz w:val="24"/>
          <w:szCs w:val="24"/>
        </w:rPr>
      </w:pPr>
    </w:p>
    <w:p w:rsidR="00477692" w:rsidRPr="00A52EF3" w:rsidRDefault="00477692" w:rsidP="00F25FCA">
      <w:pPr>
        <w:spacing w:line="360" w:lineRule="auto"/>
        <w:ind w:firstLine="708"/>
        <w:jc w:val="both"/>
        <w:rPr>
          <w:rFonts w:ascii="Times New Roman" w:hAnsi="Times New Roman" w:cs="Times New Roman"/>
          <w:sz w:val="24"/>
          <w:szCs w:val="24"/>
        </w:rPr>
      </w:pPr>
    </w:p>
    <w:p w:rsidR="00881557" w:rsidRPr="00A52EF3" w:rsidRDefault="00881557" w:rsidP="00F25FCA">
      <w:pPr>
        <w:spacing w:line="360" w:lineRule="auto"/>
        <w:ind w:firstLine="708"/>
        <w:jc w:val="both"/>
        <w:rPr>
          <w:rFonts w:ascii="Times New Roman" w:hAnsi="Times New Roman" w:cs="Times New Roman"/>
          <w:sz w:val="24"/>
          <w:szCs w:val="24"/>
        </w:rPr>
      </w:pPr>
    </w:p>
    <w:p w:rsidR="00881557" w:rsidRPr="00A52EF3" w:rsidRDefault="00881557" w:rsidP="00F25FCA">
      <w:pPr>
        <w:spacing w:line="360" w:lineRule="auto"/>
        <w:ind w:firstLine="708"/>
        <w:jc w:val="both"/>
        <w:rPr>
          <w:rFonts w:ascii="Times New Roman" w:hAnsi="Times New Roman" w:cs="Times New Roman"/>
          <w:sz w:val="24"/>
          <w:szCs w:val="24"/>
        </w:rPr>
      </w:pPr>
    </w:p>
    <w:p w:rsidR="00460DFA" w:rsidRPr="00A52EF3" w:rsidRDefault="00460DFA" w:rsidP="00F25FCA">
      <w:pPr>
        <w:spacing w:line="360" w:lineRule="auto"/>
        <w:ind w:firstLine="708"/>
        <w:jc w:val="both"/>
        <w:rPr>
          <w:rFonts w:ascii="Times New Roman" w:hAnsi="Times New Roman" w:cs="Times New Roman"/>
          <w:b/>
          <w:i/>
          <w:sz w:val="24"/>
          <w:szCs w:val="24"/>
        </w:rPr>
      </w:pPr>
      <w:r w:rsidRPr="00A52EF3">
        <w:rPr>
          <w:rFonts w:ascii="Times New Roman" w:hAnsi="Times New Roman" w:cs="Times New Roman"/>
          <w:b/>
          <w:i/>
          <w:sz w:val="24"/>
          <w:szCs w:val="24"/>
        </w:rPr>
        <w:lastRenderedPageBreak/>
        <w:t>Podsumowanie</w:t>
      </w:r>
    </w:p>
    <w:p w:rsidR="00460DFA"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Podsumowując wyniki oceny rocznej i klasyfikacji stref dla kryterium ochrony zdrowia ludzi, strefa miasta Kielce uzyskała klasę C z powodu przekroczeń poziomu dopuszczalnego określonego dla pyłu zawieszonego PM10 dla stężeń dobowych. Klasa C (C1) wynikała też z przekroczenia poziomu dopuszczalnego pyłu PM2,5 dla fazy I i II. Strefa ta otrzymała również klasę C pod kątem zanieczyszczenia powietrza benzo(a)pirenem, co było skutkiem przekroczenia poziomu docelowego tej substancji. Przekroczenie poziomu celu długoterminowego określonego dla ozonu skutkowało nadaniem klasy D2 tej strefie.</w:t>
      </w:r>
    </w:p>
    <w:p w:rsidR="00460DFA"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Strefa świętokrzyska uzyskała klasę C z powodu przekroczeń ponad dopuszczalną częstość stężeń 24-godzinnych pyłu PM10 oraz przekroczenia poziomu docelowego benzo(a)pirenu. Podobnie jak Kielce, ze względu na niedotrzymanie poziomu celu długoterminowego ozonu, strefa ta otrzymała klasę D2.</w:t>
      </w:r>
    </w:p>
    <w:p w:rsidR="00850F7E" w:rsidRPr="00A52EF3" w:rsidRDefault="00460DFA"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Dla stref ze statusem klasy C, zgodnie z art. 91 ustawy - P</w:t>
      </w:r>
      <w:r w:rsidR="0005243B" w:rsidRPr="00A52EF3">
        <w:rPr>
          <w:rFonts w:ascii="Times New Roman" w:hAnsi="Times New Roman" w:cs="Times New Roman"/>
          <w:sz w:val="24"/>
          <w:szCs w:val="24"/>
        </w:rPr>
        <w:t>OŚ</w:t>
      </w:r>
      <w:r w:rsidRPr="00A52EF3">
        <w:rPr>
          <w:rFonts w:ascii="Times New Roman" w:hAnsi="Times New Roman" w:cs="Times New Roman"/>
          <w:sz w:val="24"/>
          <w:szCs w:val="24"/>
        </w:rPr>
        <w:t>., zarząd województwa opracowuje, a sejmik województwa uchwala program ochrony powietrza, mający na celu osiągnięcie poziomów dopuszczalnych i docelowych w powietrzu oraz pułapu stężenia ekspozycji. Dla stref, w których przekraczane są poziomy dopuszczalne integralną część programu ochrony powietrza lub jego aktualizacji stanowić ma plan działań krótkoterminowych.</w:t>
      </w:r>
      <w:r w:rsidR="00850F7E" w:rsidRPr="00A52EF3">
        <w:rPr>
          <w:rFonts w:ascii="Times New Roman" w:hAnsi="Times New Roman" w:cs="Times New Roman"/>
          <w:sz w:val="24"/>
          <w:szCs w:val="24"/>
        </w:rPr>
        <w:t xml:space="preserve"> </w:t>
      </w:r>
    </w:p>
    <w:p w:rsidR="00460DFA" w:rsidRPr="00A52EF3" w:rsidRDefault="00850F7E"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Klasa D2 skutkuje natomiast, w myśl art. 91a Ustawy, podjęciem długoterminowych działań naprawczych będących celem wojewódzkiego programu ochrony środowiska. Pozostałym strefom nadano status klasy A z uwagi na nieprzekraczanie (również ponad dozwoloną ilość) poziomu dopuszczalnego i docelowego dla każdej z ocenianych substancji.</w:t>
      </w:r>
    </w:p>
    <w:tbl>
      <w:tblPr>
        <w:tblStyle w:val="Tabela-Siatka"/>
        <w:tblW w:w="0" w:type="auto"/>
        <w:tblLook w:val="04A0" w:firstRow="1" w:lastRow="0" w:firstColumn="1" w:lastColumn="0" w:noHBand="0" w:noVBand="1"/>
      </w:tblPr>
      <w:tblGrid>
        <w:gridCol w:w="482"/>
        <w:gridCol w:w="1681"/>
        <w:gridCol w:w="980"/>
        <w:gridCol w:w="417"/>
        <w:gridCol w:w="427"/>
        <w:gridCol w:w="396"/>
        <w:gridCol w:w="636"/>
        <w:gridCol w:w="507"/>
        <w:gridCol w:w="536"/>
        <w:gridCol w:w="657"/>
        <w:gridCol w:w="407"/>
        <w:gridCol w:w="587"/>
        <w:gridCol w:w="467"/>
        <w:gridCol w:w="702"/>
        <w:gridCol w:w="406"/>
      </w:tblGrid>
      <w:tr w:rsidR="00394EE5" w:rsidRPr="00A52EF3" w:rsidTr="00394EE5">
        <w:tc>
          <w:tcPr>
            <w:tcW w:w="0" w:type="auto"/>
            <w:vMerge w:val="restart"/>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Lp.</w:t>
            </w:r>
          </w:p>
        </w:tc>
        <w:tc>
          <w:tcPr>
            <w:tcW w:w="0" w:type="auto"/>
            <w:vMerge w:val="restart"/>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Nazwa strefy</w:t>
            </w:r>
          </w:p>
        </w:tc>
        <w:tc>
          <w:tcPr>
            <w:tcW w:w="0" w:type="auto"/>
            <w:vMerge w:val="restart"/>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Kod strefy</w:t>
            </w:r>
          </w:p>
        </w:tc>
        <w:tc>
          <w:tcPr>
            <w:tcW w:w="0" w:type="auto"/>
            <w:gridSpan w:val="12"/>
            <w:vAlign w:val="center"/>
          </w:tcPr>
          <w:p w:rsidR="00394EE5" w:rsidRPr="00A52EF3" w:rsidRDefault="00394EE5" w:rsidP="00F25FCA">
            <w:pPr>
              <w:spacing w:line="360" w:lineRule="auto"/>
              <w:jc w:val="center"/>
              <w:rPr>
                <w:rFonts w:ascii="Times New Roman" w:hAnsi="Times New Roman" w:cs="Times New Roman"/>
                <w:b/>
                <w:sz w:val="18"/>
                <w:szCs w:val="20"/>
                <w:highlight w:val="cyan"/>
              </w:rPr>
            </w:pPr>
            <w:r w:rsidRPr="00A52EF3">
              <w:rPr>
                <w:rFonts w:ascii="Times New Roman" w:hAnsi="Times New Roman" w:cs="Times New Roman"/>
                <w:b/>
                <w:sz w:val="18"/>
                <w:szCs w:val="20"/>
              </w:rPr>
              <w:t>Klasa strefy</w:t>
            </w:r>
          </w:p>
        </w:tc>
      </w:tr>
      <w:tr w:rsidR="00394EE5" w:rsidRPr="00A52EF3" w:rsidTr="00394EE5">
        <w:tc>
          <w:tcPr>
            <w:tcW w:w="0" w:type="auto"/>
            <w:vMerge/>
            <w:vAlign w:val="center"/>
          </w:tcPr>
          <w:p w:rsidR="00394EE5" w:rsidRPr="00A52EF3" w:rsidRDefault="00394EE5" w:rsidP="00F25FCA">
            <w:pPr>
              <w:spacing w:line="360" w:lineRule="auto"/>
              <w:jc w:val="center"/>
              <w:rPr>
                <w:rFonts w:ascii="Times New Roman" w:hAnsi="Times New Roman" w:cs="Times New Roman"/>
                <w:sz w:val="18"/>
                <w:szCs w:val="20"/>
              </w:rPr>
            </w:pPr>
          </w:p>
        </w:tc>
        <w:tc>
          <w:tcPr>
            <w:tcW w:w="0" w:type="auto"/>
            <w:vMerge/>
            <w:vAlign w:val="center"/>
          </w:tcPr>
          <w:p w:rsidR="00394EE5" w:rsidRPr="00A52EF3" w:rsidRDefault="00394EE5" w:rsidP="00F25FCA">
            <w:pPr>
              <w:spacing w:line="360" w:lineRule="auto"/>
              <w:jc w:val="center"/>
              <w:rPr>
                <w:rFonts w:ascii="Times New Roman" w:hAnsi="Times New Roman" w:cs="Times New Roman"/>
                <w:sz w:val="18"/>
                <w:szCs w:val="20"/>
              </w:rPr>
            </w:pPr>
          </w:p>
        </w:tc>
        <w:tc>
          <w:tcPr>
            <w:tcW w:w="0" w:type="auto"/>
            <w:vMerge/>
            <w:vAlign w:val="center"/>
          </w:tcPr>
          <w:p w:rsidR="00394EE5" w:rsidRPr="00A52EF3" w:rsidRDefault="00394EE5" w:rsidP="00F25FCA">
            <w:pPr>
              <w:spacing w:line="360" w:lineRule="auto"/>
              <w:jc w:val="center"/>
              <w:rPr>
                <w:rFonts w:ascii="Times New Roman" w:hAnsi="Times New Roman" w:cs="Times New Roman"/>
                <w:sz w:val="18"/>
                <w:szCs w:val="20"/>
              </w:rPr>
            </w:pP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As</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Cd</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Ni</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B(a)P</w:t>
            </w:r>
          </w:p>
        </w:tc>
        <w:tc>
          <w:tcPr>
            <w:tcW w:w="0" w:type="auto"/>
            <w:vAlign w:val="center"/>
          </w:tcPr>
          <w:p w:rsidR="00394EE5" w:rsidRPr="00A52EF3" w:rsidRDefault="00394EE5" w:rsidP="00F25FCA">
            <w:pPr>
              <w:spacing w:line="360" w:lineRule="auto"/>
              <w:jc w:val="center"/>
              <w:rPr>
                <w:rFonts w:ascii="Times New Roman" w:hAnsi="Times New Roman" w:cs="Times New Roman"/>
                <w:b/>
                <w:sz w:val="18"/>
                <w:szCs w:val="20"/>
                <w:highlight w:val="cyan"/>
              </w:rPr>
            </w:pPr>
            <w:r w:rsidRPr="00A52EF3">
              <w:rPr>
                <w:rFonts w:ascii="Times New Roman" w:hAnsi="Times New Roman" w:cs="Times New Roman"/>
                <w:sz w:val="18"/>
                <w:szCs w:val="20"/>
              </w:rPr>
              <w:t>SO</w:t>
            </w:r>
            <w:r w:rsidRPr="00A52EF3">
              <w:rPr>
                <w:rFonts w:ascii="Times New Roman" w:hAnsi="Times New Roman" w:cs="Times New Roman"/>
                <w:sz w:val="18"/>
                <w:szCs w:val="20"/>
                <w:vertAlign w:val="subscript"/>
              </w:rPr>
              <w:t>2</w:t>
            </w:r>
            <w:r w:rsidRPr="00A52EF3">
              <w:rPr>
                <w:rFonts w:ascii="Times New Roman" w:hAnsi="Times New Roman" w:cs="Times New Roman"/>
                <w:sz w:val="18"/>
                <w:szCs w:val="20"/>
              </w:rPr>
              <w:t xml:space="preserve">  </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NO</w:t>
            </w:r>
            <w:r w:rsidRPr="00A52EF3">
              <w:rPr>
                <w:rFonts w:ascii="Times New Roman" w:hAnsi="Times New Roman" w:cs="Times New Roman"/>
                <w:sz w:val="18"/>
                <w:szCs w:val="20"/>
                <w:vertAlign w:val="subscript"/>
              </w:rPr>
              <w:t>2</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PM10</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Pb</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C</w:t>
            </w:r>
            <w:r w:rsidRPr="00A52EF3">
              <w:rPr>
                <w:rFonts w:ascii="Times New Roman" w:hAnsi="Times New Roman" w:cs="Times New Roman"/>
                <w:sz w:val="18"/>
                <w:szCs w:val="20"/>
                <w:vertAlign w:val="subscript"/>
              </w:rPr>
              <w:t>6</w:t>
            </w:r>
            <w:r w:rsidRPr="00A52EF3">
              <w:rPr>
                <w:rFonts w:ascii="Times New Roman" w:hAnsi="Times New Roman" w:cs="Times New Roman"/>
                <w:sz w:val="18"/>
                <w:szCs w:val="20"/>
              </w:rPr>
              <w:t>H</w:t>
            </w:r>
            <w:r w:rsidRPr="00A52EF3">
              <w:rPr>
                <w:rFonts w:ascii="Times New Roman" w:hAnsi="Times New Roman" w:cs="Times New Roman"/>
                <w:sz w:val="18"/>
                <w:szCs w:val="20"/>
                <w:vertAlign w:val="subscript"/>
              </w:rPr>
              <w:t>6</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CO</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 xml:space="preserve">PM2,5 </w:t>
            </w:r>
          </w:p>
        </w:tc>
        <w:tc>
          <w:tcPr>
            <w:tcW w:w="0" w:type="auto"/>
            <w:vAlign w:val="center"/>
          </w:tcPr>
          <w:p w:rsidR="00394EE5" w:rsidRPr="00A52EF3" w:rsidRDefault="00394EE5" w:rsidP="00F25FCA">
            <w:pPr>
              <w:spacing w:line="360" w:lineRule="auto"/>
              <w:jc w:val="center"/>
              <w:rPr>
                <w:rFonts w:ascii="Times New Roman" w:hAnsi="Times New Roman" w:cs="Times New Roman"/>
                <w:sz w:val="18"/>
                <w:szCs w:val="20"/>
                <w:highlight w:val="cyan"/>
              </w:rPr>
            </w:pPr>
            <w:r w:rsidRPr="00A52EF3">
              <w:rPr>
                <w:rFonts w:ascii="Times New Roman" w:hAnsi="Times New Roman" w:cs="Times New Roman"/>
                <w:sz w:val="18"/>
                <w:szCs w:val="20"/>
              </w:rPr>
              <w:t>O</w:t>
            </w:r>
            <w:r w:rsidRPr="00A52EF3">
              <w:rPr>
                <w:rFonts w:ascii="Times New Roman" w:hAnsi="Times New Roman" w:cs="Times New Roman"/>
                <w:sz w:val="18"/>
                <w:szCs w:val="20"/>
                <w:vertAlign w:val="subscript"/>
              </w:rPr>
              <w:t>3</w:t>
            </w:r>
          </w:p>
        </w:tc>
      </w:tr>
      <w:tr w:rsidR="00394EE5" w:rsidRPr="00A52EF3" w:rsidTr="00394EE5">
        <w:tc>
          <w:tcPr>
            <w:tcW w:w="0" w:type="auto"/>
            <w:tcBorders>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1.</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miasto Kielce</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PL2601</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C</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C</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C</w:t>
            </w:r>
          </w:p>
        </w:tc>
        <w:tc>
          <w:tcPr>
            <w:tcW w:w="0" w:type="auto"/>
            <w:tcBorders>
              <w:bottom w:val="single" w:sz="4" w:space="0" w:color="auto"/>
            </w:tcBorders>
            <w:vAlign w:val="center"/>
          </w:tcPr>
          <w:p w:rsidR="00394EE5" w:rsidRPr="00A52EF3" w:rsidRDefault="00394EE5" w:rsidP="00F25FCA">
            <w:pPr>
              <w:spacing w:line="360" w:lineRule="auto"/>
              <w:jc w:val="center"/>
              <w:rPr>
                <w:rFonts w:ascii="Times New Roman" w:hAnsi="Times New Roman" w:cs="Times New Roman"/>
                <w:sz w:val="18"/>
                <w:szCs w:val="20"/>
              </w:rPr>
            </w:pPr>
            <w:r w:rsidRPr="00A52EF3">
              <w:rPr>
                <w:rFonts w:ascii="Times New Roman" w:hAnsi="Times New Roman" w:cs="Times New Roman"/>
                <w:sz w:val="18"/>
                <w:szCs w:val="20"/>
              </w:rPr>
              <w:t>A</w:t>
            </w:r>
          </w:p>
        </w:tc>
      </w:tr>
      <w:tr w:rsidR="00394EE5" w:rsidRPr="00A52EF3" w:rsidTr="00394EE5">
        <w:tc>
          <w:tcPr>
            <w:tcW w:w="0" w:type="auto"/>
            <w:tcBorders>
              <w:top w:val="single" w:sz="18" w:space="0" w:color="auto"/>
              <w:left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2.</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strefa świętokrzyska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PL2602</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C</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C</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c>
          <w:tcPr>
            <w:tcW w:w="0" w:type="auto"/>
            <w:tcBorders>
              <w:top w:val="single" w:sz="18" w:space="0" w:color="auto"/>
              <w:bottom w:val="single" w:sz="18" w:space="0" w:color="auto"/>
              <w:right w:val="single" w:sz="18" w:space="0" w:color="auto"/>
            </w:tcBorders>
            <w:vAlign w:val="center"/>
          </w:tcPr>
          <w:p w:rsidR="00394EE5" w:rsidRPr="00A52EF3" w:rsidRDefault="00394EE5" w:rsidP="00F25FCA">
            <w:pPr>
              <w:spacing w:line="360" w:lineRule="auto"/>
              <w:jc w:val="center"/>
              <w:rPr>
                <w:rFonts w:ascii="Times New Roman" w:hAnsi="Times New Roman" w:cs="Times New Roman"/>
                <w:b/>
                <w:sz w:val="18"/>
                <w:szCs w:val="20"/>
              </w:rPr>
            </w:pPr>
            <w:r w:rsidRPr="00A52EF3">
              <w:rPr>
                <w:rFonts w:ascii="Times New Roman" w:hAnsi="Times New Roman" w:cs="Times New Roman"/>
                <w:b/>
                <w:sz w:val="18"/>
                <w:szCs w:val="20"/>
              </w:rPr>
              <w:t>A</w:t>
            </w:r>
          </w:p>
        </w:tc>
      </w:tr>
    </w:tbl>
    <w:p w:rsidR="00FE3680" w:rsidRPr="00A52EF3" w:rsidRDefault="00FE3680" w:rsidP="00545ED4">
      <w:pPr>
        <w:pStyle w:val="Nagwek1"/>
        <w:numPr>
          <w:ilvl w:val="0"/>
          <w:numId w:val="86"/>
        </w:numPr>
        <w:spacing w:after="240" w:line="360" w:lineRule="auto"/>
        <w:rPr>
          <w:rFonts w:ascii="Times New Roman" w:hAnsi="Times New Roman" w:cs="Times New Roman"/>
          <w:color w:val="auto"/>
        </w:rPr>
      </w:pPr>
      <w:bookmarkStart w:id="40" w:name="_Toc442426521"/>
      <w:bookmarkStart w:id="41" w:name="_Toc449097739"/>
      <w:bookmarkStart w:id="42" w:name="_Toc470764011"/>
      <w:r w:rsidRPr="00A52EF3">
        <w:rPr>
          <w:rFonts w:ascii="Times New Roman" w:hAnsi="Times New Roman" w:cs="Times New Roman"/>
          <w:color w:val="auto"/>
        </w:rPr>
        <w:lastRenderedPageBreak/>
        <w:t>Inwentaryzacja emisji dwutlenku węgla</w:t>
      </w:r>
      <w:bookmarkEnd w:id="40"/>
      <w:bookmarkEnd w:id="41"/>
      <w:bookmarkEnd w:id="42"/>
    </w:p>
    <w:p w:rsidR="00FE3680" w:rsidRPr="00A52EF3" w:rsidRDefault="00FE3680" w:rsidP="00545ED4">
      <w:pPr>
        <w:pStyle w:val="Nagwek2"/>
        <w:numPr>
          <w:ilvl w:val="1"/>
          <w:numId w:val="86"/>
        </w:numPr>
        <w:spacing w:after="240" w:line="360" w:lineRule="auto"/>
        <w:rPr>
          <w:rFonts w:ascii="Times New Roman" w:eastAsia="Times New Roman" w:hAnsi="Times New Roman" w:cs="Times New Roman"/>
          <w:color w:val="auto"/>
        </w:rPr>
      </w:pPr>
      <w:bookmarkStart w:id="43" w:name="_Toc442426522"/>
      <w:bookmarkStart w:id="44" w:name="_Toc449097740"/>
      <w:bookmarkStart w:id="45" w:name="_Toc470764012"/>
      <w:r w:rsidRPr="00A52EF3">
        <w:rPr>
          <w:rFonts w:ascii="Times New Roman" w:eastAsia="Times New Roman" w:hAnsi="Times New Roman" w:cs="Times New Roman"/>
          <w:color w:val="auto"/>
        </w:rPr>
        <w:t>Metodologia inwentaryzacji</w:t>
      </w:r>
      <w:bookmarkEnd w:id="43"/>
      <w:bookmarkEnd w:id="44"/>
      <w:bookmarkEnd w:id="45"/>
    </w:p>
    <w:p w:rsidR="00FE3680" w:rsidRPr="00A52EF3" w:rsidRDefault="00FE3680" w:rsidP="00F25FCA">
      <w:pPr>
        <w:autoSpaceDE w:val="0"/>
        <w:autoSpaceDN w:val="0"/>
        <w:adjustRightInd w:val="0"/>
        <w:spacing w:after="0" w:line="360" w:lineRule="auto"/>
        <w:ind w:firstLine="720"/>
        <w:jc w:val="both"/>
        <w:rPr>
          <w:rFonts w:ascii="Times New Roman" w:eastAsia="Calibri" w:hAnsi="Times New Roman" w:cs="Times New Roman"/>
          <w:bCs/>
          <w:sz w:val="24"/>
          <w:szCs w:val="24"/>
          <w:shd w:val="clear" w:color="auto" w:fill="FFFFFF"/>
        </w:rPr>
      </w:pPr>
      <w:r w:rsidRPr="00A52EF3">
        <w:rPr>
          <w:rFonts w:ascii="Times New Roman" w:eastAsia="Calibri" w:hAnsi="Times New Roman" w:cs="Times New Roman"/>
          <w:bCs/>
          <w:sz w:val="24"/>
          <w:szCs w:val="24"/>
          <w:shd w:val="clear" w:color="auto" w:fill="FFFFFF"/>
        </w:rPr>
        <w:t xml:space="preserve">Dane na temat zużycia paliw i energii uzyskano na podstawie rozdysponowanych ankiet do mieszkańców Gminy </w:t>
      </w:r>
      <w:r w:rsidR="00582A7D" w:rsidRPr="00A52EF3">
        <w:rPr>
          <w:rFonts w:ascii="Times New Roman" w:eastAsia="Calibri" w:hAnsi="Times New Roman" w:cs="Times New Roman"/>
          <w:bCs/>
          <w:sz w:val="24"/>
          <w:szCs w:val="24"/>
          <w:shd w:val="clear" w:color="auto" w:fill="FFFFFF"/>
        </w:rPr>
        <w:t>Brody</w:t>
      </w:r>
      <w:r w:rsidRPr="00A52EF3">
        <w:rPr>
          <w:rFonts w:ascii="Times New Roman" w:eastAsia="Calibri" w:hAnsi="Times New Roman" w:cs="Times New Roman"/>
          <w:bCs/>
          <w:sz w:val="24"/>
          <w:szCs w:val="24"/>
          <w:shd w:val="clear" w:color="auto" w:fill="FFFFFF"/>
        </w:rPr>
        <w:t>, przedsiębiorców, podmiotów usługowych, zarządzających bu</w:t>
      </w:r>
      <w:r w:rsidR="00D25BB4" w:rsidRPr="00A52EF3">
        <w:rPr>
          <w:rFonts w:ascii="Times New Roman" w:eastAsia="Calibri" w:hAnsi="Times New Roman" w:cs="Times New Roman"/>
          <w:bCs/>
          <w:sz w:val="24"/>
          <w:szCs w:val="24"/>
          <w:shd w:val="clear" w:color="auto" w:fill="FFFFFF"/>
        </w:rPr>
        <w:t>dynkami użyteczności publicznej</w:t>
      </w:r>
      <w:r w:rsidRPr="00A52EF3">
        <w:rPr>
          <w:rFonts w:ascii="Times New Roman" w:eastAsia="Calibri" w:hAnsi="Times New Roman" w:cs="Times New Roman"/>
          <w:bCs/>
          <w:sz w:val="24"/>
          <w:szCs w:val="24"/>
          <w:shd w:val="clear" w:color="auto" w:fill="FFFFFF"/>
        </w:rPr>
        <w:t xml:space="preserve"> oraz obiektami sakralnymi. Na jej podstawie uzyskano takie informacje jak na przykład:</w:t>
      </w:r>
    </w:p>
    <w:p w:rsidR="00FE3680" w:rsidRPr="00A52EF3" w:rsidRDefault="00FE3680" w:rsidP="00F25FCA">
      <w:pPr>
        <w:shd w:val="clear" w:color="auto" w:fill="FFFFFF"/>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 wiek budynku,</w:t>
      </w:r>
    </w:p>
    <w:p w:rsidR="00FE3680" w:rsidRPr="00A52EF3" w:rsidRDefault="00FE3680" w:rsidP="00F25FCA">
      <w:pPr>
        <w:shd w:val="clear" w:color="auto" w:fill="FFFFFF"/>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 powierzchnia użytkowa budynku,</w:t>
      </w:r>
    </w:p>
    <w:p w:rsidR="00FE3680" w:rsidRPr="00A52EF3" w:rsidRDefault="00FE3680" w:rsidP="00F25FCA">
      <w:pPr>
        <w:shd w:val="clear" w:color="auto" w:fill="FFFFFF"/>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 źródła ogrzewania budynku i przygotowywania ciepłej wody użytkowej (rodzaj i wiek źródła ciepła, stosowane paliwo),</w:t>
      </w:r>
    </w:p>
    <w:p w:rsidR="00FE3680" w:rsidRPr="00A52EF3" w:rsidRDefault="00FE3680" w:rsidP="00F25FCA">
      <w:pPr>
        <w:shd w:val="clear" w:color="auto" w:fill="FFFFFF"/>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 orientacyjne zużycie paliw i energii na cele ogrzewania,</w:t>
      </w:r>
    </w:p>
    <w:p w:rsidR="00FE3680" w:rsidRPr="00A52EF3" w:rsidRDefault="00FE3680" w:rsidP="00F25FCA">
      <w:pPr>
        <w:shd w:val="clear" w:color="auto" w:fill="FFFFFF"/>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 wykonane oraz planowane termomodernizacje budynku.</w:t>
      </w:r>
    </w:p>
    <w:p w:rsidR="00FE3680" w:rsidRPr="00A52EF3" w:rsidRDefault="00FE3680" w:rsidP="00F25FCA">
      <w:pPr>
        <w:autoSpaceDE w:val="0"/>
        <w:autoSpaceDN w:val="0"/>
        <w:adjustRightInd w:val="0"/>
        <w:spacing w:after="0" w:line="360" w:lineRule="auto"/>
        <w:ind w:firstLine="708"/>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Wypełnienie ankiet nie było obowiązkowe, w związku z tym nie można było pozyskać ankiet od wszystkich mieszkańców i instytucji. Na podstawie obliczeń wynikających z próby odniesiono je do całkowitej liczby domów w gminie i ich łącznej powierzchni, następnie stworzono strukturę zużycia poszczególnych paliw na potrzeby grzewcze oraz obliczono ilość energii pierwotnej.</w:t>
      </w:r>
      <w:r w:rsidR="00506272" w:rsidRPr="00A52EF3">
        <w:rPr>
          <w:rFonts w:ascii="Times New Roman" w:eastAsia="Calibri" w:hAnsi="Times New Roman" w:cs="Times New Roman"/>
          <w:sz w:val="24"/>
          <w:szCs w:val="24"/>
        </w:rPr>
        <w:t xml:space="preserve"> Każda jednostka podlegająca inwentaryzacji podała dane, które kolejno dostosowuje się tak, by były reprezentatywne dla większej populacji lub obszaru. </w:t>
      </w:r>
    </w:p>
    <w:p w:rsidR="00506272" w:rsidRPr="00A52EF3" w:rsidRDefault="00506272" w:rsidP="00F25FCA">
      <w:pPr>
        <w:autoSpaceDE w:val="0"/>
        <w:autoSpaceDN w:val="0"/>
        <w:adjustRightInd w:val="0"/>
        <w:spacing w:after="0" w:line="360" w:lineRule="auto"/>
        <w:ind w:firstLine="708"/>
        <w:jc w:val="both"/>
        <w:rPr>
          <w:rFonts w:ascii="Times New Roman" w:eastAsia="Calibri" w:hAnsi="Times New Roman" w:cs="Times New Roman"/>
          <w:sz w:val="24"/>
          <w:szCs w:val="24"/>
        </w:rPr>
      </w:pPr>
    </w:p>
    <w:p w:rsidR="00FE3680" w:rsidRPr="00A52EF3" w:rsidRDefault="00FE3680" w:rsidP="00F25FCA">
      <w:pPr>
        <w:spacing w:line="360" w:lineRule="auto"/>
        <w:ind w:firstLine="708"/>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Inwentaryzacja</w:t>
      </w:r>
      <w:r w:rsidR="00582A7D" w:rsidRPr="00A52EF3">
        <w:rPr>
          <w:rFonts w:ascii="Times New Roman" w:eastAsia="Calibri" w:hAnsi="Times New Roman" w:cs="Times New Roman"/>
          <w:sz w:val="24"/>
          <w:szCs w:val="24"/>
        </w:rPr>
        <w:t xml:space="preserve"> emisji zrealizowana na terenie</w:t>
      </w:r>
      <w:r w:rsidRPr="00A52EF3">
        <w:rPr>
          <w:rFonts w:ascii="Times New Roman" w:eastAsia="Calibri" w:hAnsi="Times New Roman" w:cs="Times New Roman"/>
          <w:sz w:val="24"/>
          <w:szCs w:val="24"/>
        </w:rPr>
        <w:t xml:space="preserve"> Gminy </w:t>
      </w:r>
      <w:r w:rsidR="00582A7D" w:rsidRPr="00A52EF3">
        <w:rPr>
          <w:rFonts w:ascii="Times New Roman" w:eastAsia="Calibri" w:hAnsi="Times New Roman" w:cs="Times New Roman"/>
          <w:sz w:val="24"/>
          <w:szCs w:val="24"/>
        </w:rPr>
        <w:t>Brody</w:t>
      </w:r>
      <w:r w:rsidRPr="00A52EF3">
        <w:rPr>
          <w:rFonts w:ascii="Times New Roman" w:eastAsia="Calibri" w:hAnsi="Times New Roman" w:cs="Times New Roman"/>
          <w:sz w:val="24"/>
          <w:szCs w:val="24"/>
        </w:rPr>
        <w:t xml:space="preserve"> miała na celu dostarczenie informacji niezbędnych do określenia wielkości emisji dwutlenku węgla pochodzącego ze spalania nośników energii. Umożliwiło to określenie głównych antropogenicznych źródeł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oraz zaplanowanie działań w celu jej redukcji. Podstawą do przygotowania inwentaryzacji stanowiły wytyczne zawarte w „Poradniku jak opracować Plan działań na rzecz zrównoważonej energii (SEAP)” </w:t>
      </w:r>
    </w:p>
    <w:p w:rsidR="00FE3680" w:rsidRPr="00A52EF3" w:rsidRDefault="00FE3680" w:rsidP="00F25FCA">
      <w:pPr>
        <w:spacing w:line="360" w:lineRule="auto"/>
        <w:ind w:firstLine="708"/>
        <w:jc w:val="both"/>
        <w:rPr>
          <w:rFonts w:ascii="Times New Roman" w:eastAsia="Calibri" w:hAnsi="Times New Roman" w:cs="Times New Roman"/>
          <w:sz w:val="24"/>
        </w:rPr>
      </w:pPr>
      <w:r w:rsidRPr="00A52EF3">
        <w:rPr>
          <w:rFonts w:ascii="Times New Roman" w:eastAsia="Calibri" w:hAnsi="Times New Roman" w:cs="Times New Roman"/>
          <w:sz w:val="24"/>
        </w:rPr>
        <w:t xml:space="preserve">W  rozdziale  przedstawiono  metodologię  inwentaryzacji  emisji </w:t>
      </w:r>
      <w:r w:rsidR="00953900" w:rsidRPr="00A52EF3">
        <w:rPr>
          <w:rFonts w:ascii="Times New Roman" w:eastAsia="Calibri" w:hAnsi="Times New Roman" w:cs="Times New Roman"/>
          <w:sz w:val="24"/>
        </w:rPr>
        <w:t xml:space="preserve"> </w:t>
      </w:r>
      <w:r w:rsidR="008A5333" w:rsidRPr="00A52EF3">
        <w:rPr>
          <w:rFonts w:ascii="Times New Roman" w:eastAsia="Calibri" w:hAnsi="Times New Roman" w:cs="Times New Roman"/>
          <w:sz w:val="24"/>
        </w:rPr>
        <w:t>dwutlenku  węgla</w:t>
      </w:r>
      <w:r w:rsidRPr="00A52EF3">
        <w:rPr>
          <w:rFonts w:ascii="Times New Roman" w:eastAsia="Calibri" w:hAnsi="Times New Roman" w:cs="Times New Roman"/>
          <w:sz w:val="24"/>
        </w:rPr>
        <w:t xml:space="preserve">.  </w:t>
      </w:r>
    </w:p>
    <w:p w:rsidR="00477692" w:rsidRPr="00A52EF3" w:rsidRDefault="00477692" w:rsidP="00F32558">
      <w:pPr>
        <w:spacing w:line="360" w:lineRule="auto"/>
        <w:jc w:val="both"/>
        <w:rPr>
          <w:rFonts w:ascii="Times New Roman" w:eastAsia="Calibri" w:hAnsi="Times New Roman" w:cs="Times New Roman"/>
          <w:sz w:val="24"/>
        </w:rPr>
      </w:pPr>
    </w:p>
    <w:p w:rsidR="00FE3680" w:rsidRPr="00A52EF3" w:rsidRDefault="00FE3680" w:rsidP="00F25FCA">
      <w:pPr>
        <w:spacing w:line="360" w:lineRule="auto"/>
        <w:ind w:firstLine="360"/>
        <w:jc w:val="both"/>
        <w:rPr>
          <w:rFonts w:ascii="Times New Roman" w:eastAsia="Calibri" w:hAnsi="Times New Roman" w:cs="Times New Roman"/>
          <w:sz w:val="24"/>
        </w:rPr>
      </w:pPr>
      <w:r w:rsidRPr="00A52EF3">
        <w:rPr>
          <w:rFonts w:ascii="Times New Roman" w:eastAsia="Calibri" w:hAnsi="Times New Roman" w:cs="Times New Roman"/>
          <w:sz w:val="24"/>
        </w:rPr>
        <w:lastRenderedPageBreak/>
        <w:t>Inwentaryzacja  obejmowała  następujące  obszary,  dla  których  zaplanowano kompleksowe działania:</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Budynki mieszkalne,</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Infrastruktura użyteczności publicznej,</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Obiekty sakralne,</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Oświetlenie uliczne,</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rPr>
      </w:pPr>
      <w:r w:rsidRPr="00A52EF3">
        <w:rPr>
          <w:rFonts w:ascii="Times New Roman" w:eastAsia="Calibri" w:hAnsi="Times New Roman" w:cs="Times New Roman"/>
          <w:sz w:val="24"/>
        </w:rPr>
        <w:t>Transport,</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Przemysł,</w:t>
      </w:r>
    </w:p>
    <w:p w:rsidR="00FE3680" w:rsidRPr="00A52EF3" w:rsidRDefault="00FE3680" w:rsidP="00F25FCA">
      <w:pPr>
        <w:numPr>
          <w:ilvl w:val="0"/>
          <w:numId w:val="43"/>
        </w:numPr>
        <w:spacing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Budynki usługowe (niekomunalne).</w:t>
      </w:r>
    </w:p>
    <w:p w:rsidR="00FE3680" w:rsidRPr="00A52EF3" w:rsidRDefault="00FE3680" w:rsidP="00F25FCA">
      <w:pPr>
        <w:spacing w:line="360" w:lineRule="auto"/>
        <w:jc w:val="both"/>
        <w:rPr>
          <w:rFonts w:ascii="Times New Roman" w:eastAsia="Calibri" w:hAnsi="Times New Roman" w:cs="Times New Roman"/>
          <w:sz w:val="24"/>
          <w:szCs w:val="24"/>
        </w:rPr>
      </w:pPr>
    </w:p>
    <w:p w:rsidR="00C7020F" w:rsidRPr="00A52EF3" w:rsidRDefault="00C2590D" w:rsidP="00C7020F">
      <w:pPr>
        <w:spacing w:line="360" w:lineRule="auto"/>
        <w:ind w:firstLine="36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Z uwagi na fakt, że nie udało</w:t>
      </w:r>
      <w:r w:rsidR="00C7020F" w:rsidRPr="00A52EF3">
        <w:rPr>
          <w:rFonts w:ascii="Times New Roman" w:eastAsia="Calibri" w:hAnsi="Times New Roman" w:cs="Times New Roman"/>
          <w:sz w:val="24"/>
          <w:szCs w:val="24"/>
        </w:rPr>
        <w:t xml:space="preserve"> się pozyskać kompletnych danych dla każdego z sektorów, wykorzystano</w:t>
      </w:r>
      <w:r w:rsidRPr="00A52EF3">
        <w:rPr>
          <w:rFonts w:ascii="Times New Roman" w:eastAsia="Calibri" w:hAnsi="Times New Roman" w:cs="Times New Roman"/>
          <w:sz w:val="24"/>
          <w:szCs w:val="24"/>
        </w:rPr>
        <w:t xml:space="preserve"> również</w:t>
      </w:r>
      <w:r w:rsidR="00C7020F" w:rsidRPr="00A52EF3">
        <w:rPr>
          <w:rFonts w:ascii="Times New Roman" w:eastAsia="Calibri" w:hAnsi="Times New Roman" w:cs="Times New Roman"/>
          <w:sz w:val="24"/>
          <w:szCs w:val="24"/>
        </w:rPr>
        <w:t xml:space="preserve"> lokalne dane statystyczne. </w:t>
      </w:r>
    </w:p>
    <w:p w:rsidR="007C34D2" w:rsidRPr="00A52EF3" w:rsidRDefault="00FE3680" w:rsidP="00F25FCA">
      <w:pPr>
        <w:autoSpaceDE w:val="0"/>
        <w:autoSpaceDN w:val="0"/>
        <w:adjustRightInd w:val="0"/>
        <w:spacing w:after="0" w:line="360" w:lineRule="auto"/>
        <w:ind w:firstLine="36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Informacje, które były konieczne do przeprowadzenia inwentaryzacji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zgromadzono w 2016 roku. Rok </w:t>
      </w:r>
      <w:r w:rsidR="000518D1" w:rsidRPr="00A52EF3">
        <w:rPr>
          <w:rFonts w:ascii="Times New Roman" w:eastAsia="Calibri" w:hAnsi="Times New Roman" w:cs="Times New Roman"/>
          <w:sz w:val="24"/>
          <w:szCs w:val="24"/>
        </w:rPr>
        <w:t xml:space="preserve">bazowy to rok 2015, jako </w:t>
      </w:r>
      <w:r w:rsidRPr="00A52EF3">
        <w:rPr>
          <w:rFonts w:ascii="Times New Roman" w:eastAsia="Calibri" w:hAnsi="Times New Roman" w:cs="Times New Roman"/>
          <w:sz w:val="24"/>
          <w:szCs w:val="24"/>
        </w:rPr>
        <w:t>osta</w:t>
      </w:r>
      <w:r w:rsidR="000518D1" w:rsidRPr="00A52EF3">
        <w:rPr>
          <w:rFonts w:ascii="Times New Roman" w:eastAsia="Calibri" w:hAnsi="Times New Roman" w:cs="Times New Roman"/>
          <w:sz w:val="24"/>
          <w:szCs w:val="24"/>
        </w:rPr>
        <w:t xml:space="preserve">tni zamknięty rok kalendarzowy, dzięki czemu możliwe jest przeprowadzenie inwentaryzacji dla możliwie najbardziej aktualnego roku. </w:t>
      </w:r>
      <w:r w:rsidR="007C34D2" w:rsidRPr="00A52EF3">
        <w:rPr>
          <w:rFonts w:ascii="Times New Roman" w:eastAsia="Calibri" w:hAnsi="Times New Roman" w:cs="Times New Roman"/>
          <w:sz w:val="24"/>
          <w:szCs w:val="24"/>
        </w:rPr>
        <w:t>Za rok bazowy podano najbardziej aktualny, zamknięty rok kalendarzowy, ponieważ dane najbardziej realnie odzwierciedlają aktualną sytuację gminy, z uwagi na wzrost w ostatnich latach zużycia energii elektrycznej i emisji zanieczyszczeń. Dlatego też przyjęcie każdego innego (poprzedniego) roku byłoby nieprecyzyjne i nieodzwierciedlające rzeczywistego stanu środowiska w gminie Brody.</w:t>
      </w:r>
    </w:p>
    <w:p w:rsidR="00FE3680" w:rsidRPr="00A52EF3" w:rsidRDefault="000518D1" w:rsidP="00F25FCA">
      <w:pPr>
        <w:autoSpaceDE w:val="0"/>
        <w:autoSpaceDN w:val="0"/>
        <w:adjustRightInd w:val="0"/>
        <w:spacing w:after="0" w:line="360" w:lineRule="auto"/>
        <w:ind w:firstLine="36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W roku 2015 </w:t>
      </w:r>
      <w:r w:rsidR="00FE3680" w:rsidRPr="00A52EF3">
        <w:rPr>
          <w:rFonts w:ascii="Times New Roman" w:eastAsia="Calibri" w:hAnsi="Times New Roman" w:cs="Times New Roman"/>
          <w:sz w:val="24"/>
          <w:szCs w:val="24"/>
        </w:rPr>
        <w:t>ustalono wielkość zużycia energii oraz emisji CO</w:t>
      </w:r>
      <w:r w:rsidR="00FE3680" w:rsidRPr="00A52EF3">
        <w:rPr>
          <w:rFonts w:ascii="Times New Roman" w:eastAsia="Calibri" w:hAnsi="Times New Roman" w:cs="Times New Roman"/>
          <w:sz w:val="24"/>
          <w:szCs w:val="24"/>
          <w:vertAlign w:val="subscript"/>
        </w:rPr>
        <w:t>2</w:t>
      </w:r>
      <w:r w:rsidR="00FE3680" w:rsidRPr="00A52EF3">
        <w:rPr>
          <w:rFonts w:ascii="Times New Roman" w:eastAsia="Calibri" w:hAnsi="Times New Roman" w:cs="Times New Roman"/>
          <w:sz w:val="24"/>
          <w:szCs w:val="24"/>
        </w:rPr>
        <w:t xml:space="preserve">. </w:t>
      </w:r>
    </w:p>
    <w:p w:rsidR="00FE3680" w:rsidRPr="00A52EF3" w:rsidRDefault="00FE3680" w:rsidP="00F25FCA">
      <w:pPr>
        <w:autoSpaceDE w:val="0"/>
        <w:autoSpaceDN w:val="0"/>
        <w:adjustRightInd w:val="0"/>
        <w:spacing w:after="0" w:line="360" w:lineRule="auto"/>
        <w:ind w:firstLine="36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Rok </w:t>
      </w:r>
      <w:r w:rsidR="00554F04" w:rsidRPr="00A52EF3">
        <w:rPr>
          <w:rFonts w:ascii="Times New Roman" w:eastAsia="Calibri" w:hAnsi="Times New Roman" w:cs="Times New Roman"/>
          <w:sz w:val="24"/>
          <w:szCs w:val="24"/>
        </w:rPr>
        <w:t>2020</w:t>
      </w:r>
      <w:r w:rsidRPr="00A52EF3">
        <w:rPr>
          <w:rFonts w:ascii="Times New Roman" w:eastAsia="Calibri" w:hAnsi="Times New Roman" w:cs="Times New Roman"/>
          <w:sz w:val="24"/>
          <w:szCs w:val="24"/>
        </w:rPr>
        <w:t xml:space="preserve"> jest rokiem docelowym, dla którego prognozo</w:t>
      </w:r>
      <w:r w:rsidR="00554F04" w:rsidRPr="00A52EF3">
        <w:rPr>
          <w:rFonts w:ascii="Times New Roman" w:eastAsia="Calibri" w:hAnsi="Times New Roman" w:cs="Times New Roman"/>
          <w:sz w:val="24"/>
          <w:szCs w:val="24"/>
        </w:rPr>
        <w:t>wana jest wielkość emisji, a rok 2021</w:t>
      </w:r>
      <w:r w:rsidRPr="00A52EF3">
        <w:rPr>
          <w:rFonts w:ascii="Times New Roman" w:eastAsia="Calibri" w:hAnsi="Times New Roman" w:cs="Times New Roman"/>
          <w:sz w:val="24"/>
          <w:szCs w:val="24"/>
        </w:rPr>
        <w:t xml:space="preserve"> stanowi horyzont czasowy dla założonego planu działań. </w:t>
      </w:r>
    </w:p>
    <w:p w:rsidR="000518D1" w:rsidRPr="00A52EF3" w:rsidRDefault="00FE3680" w:rsidP="00A05A52">
      <w:pPr>
        <w:autoSpaceDE w:val="0"/>
        <w:autoSpaceDN w:val="0"/>
        <w:adjustRightInd w:val="0"/>
        <w:spacing w:after="0" w:line="360" w:lineRule="auto"/>
        <w:ind w:firstLine="360"/>
        <w:jc w:val="both"/>
        <w:rPr>
          <w:rFonts w:ascii="Times New Roman" w:eastAsia="Calibri" w:hAnsi="Times New Roman" w:cs="Times New Roman"/>
          <w:sz w:val="24"/>
        </w:rPr>
      </w:pPr>
      <w:r w:rsidRPr="00A52EF3">
        <w:rPr>
          <w:rFonts w:ascii="Times New Roman" w:eastAsia="Calibri" w:hAnsi="Times New Roman" w:cs="Times New Roman"/>
          <w:sz w:val="24"/>
        </w:rPr>
        <w:t>W inwentaryzacji nie uwzględniono wartości zużycia energii i emisji CO</w:t>
      </w:r>
      <w:r w:rsidRPr="00A52EF3">
        <w:rPr>
          <w:rFonts w:ascii="Times New Roman" w:eastAsia="Calibri" w:hAnsi="Times New Roman" w:cs="Times New Roman"/>
          <w:sz w:val="24"/>
          <w:vertAlign w:val="subscript"/>
        </w:rPr>
        <w:t xml:space="preserve">2 </w:t>
      </w:r>
      <w:r w:rsidRPr="00A52EF3">
        <w:rPr>
          <w:rFonts w:ascii="Times New Roman" w:eastAsia="Calibri" w:hAnsi="Times New Roman" w:cs="Times New Roman"/>
          <w:sz w:val="24"/>
        </w:rPr>
        <w:t xml:space="preserve">z transportu publicznego, ponieważ działania ujęte w Planie Gospodarki Niskoemisyjnej nie obejmują sektora transportu publicznego na terenie Gminy </w:t>
      </w:r>
      <w:r w:rsidR="00582A7D" w:rsidRPr="00A52EF3">
        <w:rPr>
          <w:rFonts w:ascii="Times New Roman" w:eastAsia="Calibri" w:hAnsi="Times New Roman" w:cs="Times New Roman"/>
          <w:sz w:val="24"/>
        </w:rPr>
        <w:t>Brody</w:t>
      </w:r>
      <w:r w:rsidRPr="00A52EF3">
        <w:rPr>
          <w:rFonts w:ascii="Times New Roman" w:eastAsia="Calibri" w:hAnsi="Times New Roman" w:cs="Times New Roman"/>
          <w:sz w:val="24"/>
        </w:rPr>
        <w:t xml:space="preserve">. </w:t>
      </w:r>
    </w:p>
    <w:p w:rsidR="00C7020F" w:rsidRPr="00A52EF3" w:rsidRDefault="00A05A52" w:rsidP="00C7020F">
      <w:pPr>
        <w:autoSpaceDE w:val="0"/>
        <w:autoSpaceDN w:val="0"/>
        <w:adjustRightInd w:val="0"/>
        <w:spacing w:after="0" w:line="360" w:lineRule="auto"/>
        <w:ind w:firstLine="360"/>
        <w:jc w:val="both"/>
        <w:rPr>
          <w:rFonts w:ascii="Times New Roman" w:eastAsia="Calibri" w:hAnsi="Times New Roman" w:cs="Times New Roman"/>
          <w:sz w:val="24"/>
        </w:rPr>
      </w:pPr>
      <w:r w:rsidRPr="00A52EF3">
        <w:rPr>
          <w:rFonts w:ascii="Times New Roman" w:eastAsia="Calibri" w:hAnsi="Times New Roman" w:cs="Times New Roman"/>
          <w:sz w:val="24"/>
        </w:rPr>
        <w:t>Do końca 2020 roku głównym celem Planu Gospodarki Niskoemisyjnej dla Gminy Brody jest poprawa jakości środowiska naturalnego poprzez redukcję zużycia energii oraz emisji zanieczyszczeń. Cel ten będzie realizowany poprzez następujące działania:</w:t>
      </w:r>
    </w:p>
    <w:p w:rsidR="00C7020F" w:rsidRPr="00A52EF3" w:rsidRDefault="00C7020F" w:rsidP="00C7020F">
      <w:pPr>
        <w:pStyle w:val="Akapitzlist"/>
        <w:numPr>
          <w:ilvl w:val="0"/>
          <w:numId w:val="2"/>
        </w:numPr>
        <w:spacing w:line="360" w:lineRule="auto"/>
        <w:jc w:val="both"/>
        <w:rPr>
          <w:rFonts w:ascii="Times New Roman" w:eastAsia="Times New Roman" w:hAnsi="Times New Roman" w:cs="Times New Roman"/>
          <w:sz w:val="24"/>
          <w:szCs w:val="24"/>
        </w:rPr>
      </w:pPr>
      <w:r w:rsidRPr="00A52EF3">
        <w:rPr>
          <w:rFonts w:ascii="Times New Roman" w:hAnsi="Times New Roman" w:cs="Times New Roman"/>
          <w:sz w:val="24"/>
          <w:szCs w:val="24"/>
        </w:rPr>
        <w:lastRenderedPageBreak/>
        <w:t>redukcję emisji gazów cieplarnianych o ok. 3341,09 Mg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co w przeliczeniu daje 5,93%,</w:t>
      </w:r>
      <w:r w:rsidRPr="00A52EF3">
        <w:rPr>
          <w:rFonts w:ascii="Times New Roman" w:hAnsi="Times New Roman" w:cs="Times New Roman"/>
          <w:sz w:val="24"/>
          <w:szCs w:val="24"/>
          <w:vertAlign w:val="subscript"/>
        </w:rPr>
        <w:t xml:space="preserve"> </w:t>
      </w:r>
      <w:r w:rsidRPr="00A52EF3">
        <w:rPr>
          <w:rFonts w:ascii="Times New Roman" w:hAnsi="Times New Roman" w:cs="Times New Roman"/>
          <w:sz w:val="24"/>
          <w:szCs w:val="24"/>
        </w:rPr>
        <w:t>w porównaniu do roku bazowego</w:t>
      </w:r>
    </w:p>
    <w:p w:rsidR="00C7020F" w:rsidRPr="00A52EF3" w:rsidRDefault="00C7020F" w:rsidP="00C7020F">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zwiększenie udziału zużycia odnawialnych źródeł energii o ok. 511,52 MWh, </w:t>
      </w:r>
      <w:r w:rsidRPr="00A52EF3">
        <w:rPr>
          <w:rFonts w:ascii="Times New Roman" w:hAnsi="Times New Roman" w:cs="Times New Roman"/>
          <w:sz w:val="24"/>
          <w:szCs w:val="24"/>
        </w:rPr>
        <w:br/>
        <w:t xml:space="preserve">tj. 3,37 punktów procentowych </w:t>
      </w:r>
    </w:p>
    <w:p w:rsidR="00C7020F" w:rsidRPr="00A52EF3" w:rsidRDefault="00C7020F" w:rsidP="00C7020F">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redukcję zużycia energii pierwotnej o ok. 8446,1 MWh</w:t>
      </w:r>
      <w:r w:rsidRPr="00A52EF3">
        <w:rPr>
          <w:rFonts w:ascii="Times New Roman" w:eastAsia="Times New Roman" w:hAnsi="Times New Roman" w:cs="Times New Roman"/>
          <w:sz w:val="24"/>
          <w:szCs w:val="24"/>
        </w:rPr>
        <w:t>, czyli 5,72% zużycia w roku bazowym</w:t>
      </w:r>
    </w:p>
    <w:p w:rsidR="00C7020F" w:rsidRPr="00A52EF3" w:rsidRDefault="00C7020F" w:rsidP="00C7020F">
      <w:pPr>
        <w:autoSpaceDE w:val="0"/>
        <w:autoSpaceDN w:val="0"/>
        <w:adjustRightInd w:val="0"/>
        <w:spacing w:after="0" w:line="360" w:lineRule="auto"/>
        <w:jc w:val="both"/>
        <w:rPr>
          <w:rFonts w:ascii="Times New Roman" w:eastAsia="Calibri" w:hAnsi="Times New Roman" w:cs="Times New Roman"/>
          <w:sz w:val="24"/>
          <w:highlight w:val="green"/>
        </w:rPr>
      </w:pPr>
    </w:p>
    <w:p w:rsidR="009C2241" w:rsidRPr="00A52EF3" w:rsidRDefault="009C2241" w:rsidP="009C2241">
      <w:pPr>
        <w:autoSpaceDE w:val="0"/>
        <w:autoSpaceDN w:val="0"/>
        <w:adjustRightInd w:val="0"/>
        <w:spacing w:after="0" w:line="360" w:lineRule="auto"/>
        <w:jc w:val="both"/>
        <w:rPr>
          <w:rFonts w:ascii="Times New Roman" w:eastAsia="Calibri" w:hAnsi="Times New Roman" w:cs="Times New Roman"/>
          <w:sz w:val="24"/>
        </w:rPr>
      </w:pPr>
    </w:p>
    <w:p w:rsidR="009511B5" w:rsidRPr="00A52EF3" w:rsidRDefault="009511B5" w:rsidP="009511B5">
      <w:pPr>
        <w:autoSpaceDE w:val="0"/>
        <w:autoSpaceDN w:val="0"/>
        <w:adjustRightInd w:val="0"/>
        <w:spacing w:after="0" w:line="360" w:lineRule="auto"/>
        <w:ind w:left="720"/>
        <w:jc w:val="both"/>
        <w:rPr>
          <w:rFonts w:ascii="Times New Roman" w:eastAsia="Calibri" w:hAnsi="Times New Roman" w:cs="Times New Roman"/>
          <w:sz w:val="24"/>
        </w:rPr>
      </w:pPr>
      <w:r w:rsidRPr="00A52EF3">
        <w:rPr>
          <w:rFonts w:ascii="Times New Roman" w:eastAsia="Calibri" w:hAnsi="Times New Roman" w:cs="Times New Roman"/>
          <w:sz w:val="24"/>
        </w:rPr>
        <w:t>Dodatkowo wyróżnia się działania towarzyszące:</w:t>
      </w:r>
    </w:p>
    <w:p w:rsidR="009511B5" w:rsidRPr="00A52EF3" w:rsidRDefault="009511B5" w:rsidP="00A54FB2">
      <w:pPr>
        <w:pStyle w:val="Akapitzlist"/>
        <w:numPr>
          <w:ilvl w:val="0"/>
          <w:numId w:val="84"/>
        </w:numPr>
        <w:autoSpaceDE w:val="0"/>
        <w:autoSpaceDN w:val="0"/>
        <w:adjustRightInd w:val="0"/>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Edukacje ekologiczną</w:t>
      </w:r>
    </w:p>
    <w:p w:rsidR="009511B5" w:rsidRPr="00A52EF3" w:rsidRDefault="009511B5" w:rsidP="00A54FB2">
      <w:pPr>
        <w:pStyle w:val="Akapitzlist"/>
        <w:numPr>
          <w:ilvl w:val="0"/>
          <w:numId w:val="84"/>
        </w:numPr>
        <w:autoSpaceDE w:val="0"/>
        <w:autoSpaceDN w:val="0"/>
        <w:adjustRightInd w:val="0"/>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Poprawa efektywności wykorzystania energii</w:t>
      </w:r>
    </w:p>
    <w:p w:rsidR="00A05A52" w:rsidRPr="00A52EF3" w:rsidRDefault="009511B5" w:rsidP="00A54FB2">
      <w:pPr>
        <w:pStyle w:val="Akapitzlist"/>
        <w:numPr>
          <w:ilvl w:val="0"/>
          <w:numId w:val="84"/>
        </w:numPr>
        <w:autoSpaceDE w:val="0"/>
        <w:autoSpaceDN w:val="0"/>
        <w:adjustRightInd w:val="0"/>
        <w:spacing w:after="0" w:line="360" w:lineRule="auto"/>
        <w:jc w:val="both"/>
        <w:rPr>
          <w:rFonts w:ascii="Times New Roman" w:eastAsia="Calibri" w:hAnsi="Times New Roman" w:cs="Times New Roman"/>
          <w:sz w:val="24"/>
        </w:rPr>
      </w:pPr>
      <w:r w:rsidRPr="00A52EF3">
        <w:rPr>
          <w:rFonts w:ascii="Times New Roman" w:eastAsia="Calibri" w:hAnsi="Times New Roman" w:cs="Times New Roman"/>
          <w:sz w:val="24"/>
        </w:rPr>
        <w:t>Wzrost udziału odnawialnych źródeł energii</w:t>
      </w:r>
    </w:p>
    <w:p w:rsidR="00A05A52" w:rsidRPr="00A52EF3" w:rsidRDefault="00A05A52" w:rsidP="00A05A52">
      <w:pPr>
        <w:autoSpaceDE w:val="0"/>
        <w:autoSpaceDN w:val="0"/>
        <w:adjustRightInd w:val="0"/>
        <w:spacing w:after="0" w:line="360" w:lineRule="auto"/>
        <w:ind w:firstLine="360"/>
        <w:jc w:val="both"/>
        <w:rPr>
          <w:rFonts w:ascii="Times New Roman" w:eastAsia="Calibri" w:hAnsi="Times New Roman" w:cs="Times New Roman"/>
          <w:sz w:val="24"/>
        </w:rPr>
      </w:pPr>
    </w:p>
    <w:p w:rsidR="00A05A52" w:rsidRPr="00A52EF3" w:rsidRDefault="00A05A52" w:rsidP="00107534">
      <w:pPr>
        <w:autoSpaceDE w:val="0"/>
        <w:autoSpaceDN w:val="0"/>
        <w:adjustRightInd w:val="0"/>
        <w:spacing w:line="360" w:lineRule="auto"/>
        <w:ind w:firstLine="357"/>
        <w:jc w:val="both"/>
        <w:rPr>
          <w:rFonts w:ascii="Times New Roman" w:eastAsia="Calibri" w:hAnsi="Times New Roman" w:cs="Times New Roman"/>
          <w:sz w:val="28"/>
        </w:rPr>
      </w:pPr>
      <w:r w:rsidRPr="00A52EF3">
        <w:rPr>
          <w:rFonts w:ascii="Times New Roman" w:hAnsi="Times New Roman" w:cs="Times New Roman"/>
          <w:sz w:val="24"/>
        </w:rPr>
        <w:t>Realizacja  celów  i  zadań  zaplanowanych  w  PGN  spowoduje  redukcję  emisji  gazów  cieplarnianych,  zwiększenie  udziału  energii  pochodzącej  ze  źródeł  odnawialnych,  redu</w:t>
      </w:r>
      <w:r w:rsidR="00107534" w:rsidRPr="00A52EF3">
        <w:rPr>
          <w:rFonts w:ascii="Times New Roman" w:hAnsi="Times New Roman" w:cs="Times New Roman"/>
          <w:sz w:val="24"/>
        </w:rPr>
        <w:t>kcję </w:t>
      </w:r>
      <w:r w:rsidRPr="00A52EF3">
        <w:rPr>
          <w:rFonts w:ascii="Times New Roman" w:hAnsi="Times New Roman" w:cs="Times New Roman"/>
          <w:sz w:val="24"/>
        </w:rPr>
        <w:t>zużycia energii finalnej, a także redukcję zanieczyszczeń do powietrza w zakresie zmniejszenia  ilości zanieczyszczeń  pyłowych oraz przyczyni się do poprawy stanu  środowiska naturalnego  i jakości</w:t>
      </w:r>
      <w:r w:rsidR="00953900" w:rsidRPr="00A52EF3">
        <w:rPr>
          <w:rFonts w:ascii="Times New Roman" w:hAnsi="Times New Roman" w:cs="Times New Roman"/>
          <w:sz w:val="24"/>
        </w:rPr>
        <w:t> życia mieszkańców Gminy Brody</w:t>
      </w:r>
      <w:r w:rsidRPr="00A52EF3">
        <w:rPr>
          <w:rFonts w:ascii="Times New Roman" w:hAnsi="Times New Roman" w:cs="Times New Roman"/>
          <w:sz w:val="24"/>
        </w:rPr>
        <w:t>. </w:t>
      </w:r>
    </w:p>
    <w:p w:rsidR="00AE756A" w:rsidRPr="00A52EF3" w:rsidRDefault="00AE756A" w:rsidP="00F25FCA">
      <w:pPr>
        <w:spacing w:line="360" w:lineRule="auto"/>
        <w:rPr>
          <w:rFonts w:ascii="Times New Roman" w:eastAsia="Calibri" w:hAnsi="Times New Roman" w:cs="Times New Roman"/>
        </w:rPr>
      </w:pPr>
    </w:p>
    <w:p w:rsidR="00FE3680" w:rsidRPr="00A52EF3" w:rsidRDefault="00FE3680" w:rsidP="00881557">
      <w:pPr>
        <w:pStyle w:val="Nagwek2"/>
        <w:numPr>
          <w:ilvl w:val="1"/>
          <w:numId w:val="86"/>
        </w:numPr>
        <w:spacing w:after="120" w:line="360" w:lineRule="auto"/>
        <w:ind w:left="1077"/>
        <w:rPr>
          <w:rFonts w:ascii="Times New Roman" w:eastAsia="Times New Roman" w:hAnsi="Times New Roman" w:cs="Times New Roman"/>
          <w:color w:val="auto"/>
        </w:rPr>
      </w:pPr>
      <w:bookmarkStart w:id="46" w:name="_Toc442426523"/>
      <w:bookmarkStart w:id="47" w:name="_Toc449097741"/>
      <w:bookmarkStart w:id="48" w:name="_Toc470764013"/>
      <w:r w:rsidRPr="00A52EF3">
        <w:rPr>
          <w:rFonts w:ascii="Times New Roman" w:eastAsia="Times New Roman" w:hAnsi="Times New Roman" w:cs="Times New Roman"/>
          <w:color w:val="auto"/>
        </w:rPr>
        <w:t>Wskaźniki i wielkości emisji</w:t>
      </w:r>
      <w:bookmarkEnd w:id="46"/>
      <w:bookmarkEnd w:id="47"/>
      <w:bookmarkEnd w:id="48"/>
    </w:p>
    <w:p w:rsidR="00477692" w:rsidRPr="00A52EF3" w:rsidRDefault="00FE3680" w:rsidP="00506272">
      <w:pPr>
        <w:spacing w:line="360" w:lineRule="auto"/>
        <w:ind w:firstLine="72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Wartość wskaźników została określona na podstawie dokumentu KOBIZE: „Wartości opałowe (WO) i wskaźniki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(WE) w roku 2012 do raportowania </w:t>
      </w:r>
      <w:r w:rsidRPr="00A52EF3">
        <w:rPr>
          <w:rFonts w:ascii="Times New Roman" w:eastAsia="Calibri" w:hAnsi="Times New Roman" w:cs="Times New Roman"/>
          <w:sz w:val="24"/>
          <w:szCs w:val="24"/>
        </w:rPr>
        <w:br/>
        <w:t>w ramach Wspólnotowego Systemu Handlu Uprawnieniami do Emisji za rok 2015.”</w:t>
      </w:r>
    </w:p>
    <w:tbl>
      <w:tblPr>
        <w:tblStyle w:val="Tabela-Siatka2"/>
        <w:tblW w:w="5000" w:type="pct"/>
        <w:jc w:val="center"/>
        <w:tblLook w:val="04A0" w:firstRow="1" w:lastRow="0" w:firstColumn="1" w:lastColumn="0" w:noHBand="0" w:noVBand="1"/>
      </w:tblPr>
      <w:tblGrid>
        <w:gridCol w:w="2822"/>
        <w:gridCol w:w="1482"/>
        <w:gridCol w:w="1858"/>
        <w:gridCol w:w="3126"/>
      </w:tblGrid>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Rodzaj paliwa</w:t>
            </w:r>
          </w:p>
        </w:tc>
        <w:tc>
          <w:tcPr>
            <w:tcW w:w="1798" w:type="pct"/>
            <w:gridSpan w:val="2"/>
            <w:vAlign w:val="center"/>
          </w:tcPr>
          <w:p w:rsidR="00FE3680" w:rsidRPr="00A52EF3" w:rsidRDefault="00FE3680"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Wartość opałowa</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Wielkość emisji</w:t>
            </w:r>
          </w:p>
          <w:p w:rsidR="00FE3680" w:rsidRPr="00A52EF3" w:rsidRDefault="00FE3680" w:rsidP="00F25FCA">
            <w:pPr>
              <w:spacing w:line="360" w:lineRule="auto"/>
              <w:jc w:val="center"/>
              <w:rPr>
                <w:rFonts w:ascii="Times New Roman" w:eastAsia="Calibri" w:hAnsi="Times New Roman" w:cs="Times New Roman"/>
                <w:b/>
                <w:sz w:val="24"/>
                <w:szCs w:val="24"/>
              </w:rPr>
            </w:pPr>
            <w:r w:rsidRPr="00A52EF3">
              <w:rPr>
                <w:rFonts w:ascii="Times New Roman" w:eastAsia="Calibri" w:hAnsi="Times New Roman" w:cs="Times New Roman"/>
                <w:b/>
                <w:sz w:val="24"/>
                <w:szCs w:val="24"/>
              </w:rPr>
              <w:t>[kg/GJ]</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Benzyna</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44,80</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68,61</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Olej napędowy (w tym olej opałowy lekki)</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43,33</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73,33</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lastRenderedPageBreak/>
              <w:t>Oleje opałowe</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40,19</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76,59</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Drewno opałowe i odpady pochodzenia drzewnego</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15,60</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109,76</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Węgiel</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22,63</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94,73</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Gaz ciekły (LPG)</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47,31</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[MJ/kg]</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62,44</w:t>
            </w:r>
          </w:p>
        </w:tc>
      </w:tr>
      <w:tr w:rsidR="00CC547F"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Gaz ziemny</w:t>
            </w:r>
          </w:p>
        </w:tc>
        <w:tc>
          <w:tcPr>
            <w:tcW w:w="798"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36,12</w:t>
            </w:r>
          </w:p>
        </w:tc>
        <w:tc>
          <w:tcPr>
            <w:tcW w:w="1000"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[MJ/m</w:t>
            </w:r>
            <w:r w:rsidRPr="00A52EF3">
              <w:rPr>
                <w:rFonts w:ascii="Times New Roman" w:eastAsia="Calibri" w:hAnsi="Times New Roman" w:cs="Times New Roman"/>
                <w:sz w:val="24"/>
                <w:szCs w:val="24"/>
                <w:vertAlign w:val="superscript"/>
              </w:rPr>
              <w:t>3</w:t>
            </w:r>
            <w:r w:rsidRPr="00A52EF3">
              <w:rPr>
                <w:rFonts w:ascii="Times New Roman" w:eastAsia="Calibri" w:hAnsi="Times New Roman" w:cs="Times New Roman"/>
                <w:sz w:val="24"/>
                <w:szCs w:val="24"/>
              </w:rPr>
              <w:t>]</w:t>
            </w:r>
          </w:p>
        </w:tc>
        <w:tc>
          <w:tcPr>
            <w:tcW w:w="1683"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55,82</w:t>
            </w:r>
          </w:p>
        </w:tc>
      </w:tr>
      <w:tr w:rsidR="00DD1F74" w:rsidRPr="00A52EF3" w:rsidTr="003B0E10">
        <w:trPr>
          <w:jc w:val="center"/>
        </w:trPr>
        <w:tc>
          <w:tcPr>
            <w:tcW w:w="1519" w:type="pct"/>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Energia elektryczna</w:t>
            </w:r>
          </w:p>
        </w:tc>
        <w:tc>
          <w:tcPr>
            <w:tcW w:w="1798" w:type="pct"/>
            <w:gridSpan w:val="2"/>
            <w:vAlign w:val="center"/>
          </w:tcPr>
          <w:p w:rsidR="00FE3680" w:rsidRPr="00A52EF3" w:rsidRDefault="00FE3680" w:rsidP="00F25FCA">
            <w:pPr>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sz w:val="24"/>
                <w:szCs w:val="24"/>
              </w:rPr>
              <w:t>-</w:t>
            </w:r>
          </w:p>
        </w:tc>
        <w:tc>
          <w:tcPr>
            <w:tcW w:w="1683" w:type="pct"/>
            <w:shd w:val="clear" w:color="auto" w:fill="auto"/>
            <w:vAlign w:val="center"/>
          </w:tcPr>
          <w:p w:rsidR="00FE3680" w:rsidRPr="00A52EF3" w:rsidRDefault="00FE3680" w:rsidP="00F25FCA">
            <w:pPr>
              <w:keepNext/>
              <w:spacing w:line="360" w:lineRule="auto"/>
              <w:jc w:val="center"/>
              <w:rPr>
                <w:rFonts w:ascii="Times New Roman" w:eastAsia="Calibri" w:hAnsi="Times New Roman" w:cs="Times New Roman"/>
                <w:sz w:val="24"/>
                <w:szCs w:val="24"/>
              </w:rPr>
            </w:pPr>
            <w:r w:rsidRPr="00A52EF3">
              <w:rPr>
                <w:rFonts w:ascii="Times New Roman" w:eastAsia="Calibri" w:hAnsi="Times New Roman" w:cs="Times New Roman"/>
                <w:bCs/>
                <w:sz w:val="24"/>
                <w:szCs w:val="24"/>
                <w:shd w:val="clear" w:color="auto" w:fill="FFFFFF"/>
              </w:rPr>
              <w:t>230,97</w:t>
            </w:r>
          </w:p>
        </w:tc>
      </w:tr>
    </w:tbl>
    <w:p w:rsidR="00FE3680" w:rsidRPr="00A52EF3" w:rsidRDefault="00FE3680" w:rsidP="00AE756A">
      <w:pPr>
        <w:spacing w:line="360" w:lineRule="auto"/>
        <w:jc w:val="both"/>
        <w:rPr>
          <w:rFonts w:ascii="Times New Roman" w:eastAsia="Calibri" w:hAnsi="Times New Roman" w:cs="Times New Roman"/>
          <w:b/>
          <w:bCs/>
          <w:sz w:val="24"/>
          <w:szCs w:val="24"/>
        </w:rPr>
      </w:pPr>
      <w:bookmarkStart w:id="49" w:name="_Toc439280127"/>
      <w:bookmarkStart w:id="50" w:name="_Toc445289857"/>
      <w:r w:rsidRPr="00A52EF3">
        <w:rPr>
          <w:rFonts w:ascii="Times New Roman" w:eastAsia="Calibri" w:hAnsi="Times New Roman" w:cs="Times New Roman"/>
          <w:b/>
          <w:bCs/>
          <w:sz w:val="18"/>
          <w:szCs w:val="18"/>
        </w:rPr>
        <w:t xml:space="preserve">Tabela </w:t>
      </w:r>
      <w:r w:rsidR="00572C29" w:rsidRPr="00A52EF3">
        <w:rPr>
          <w:rFonts w:ascii="Times New Roman" w:eastAsia="Calibri" w:hAnsi="Times New Roman" w:cs="Times New Roman"/>
          <w:b/>
          <w:bCs/>
          <w:sz w:val="18"/>
          <w:szCs w:val="18"/>
        </w:rPr>
        <w:fldChar w:fldCharType="begin"/>
      </w:r>
      <w:r w:rsidRPr="00A52EF3">
        <w:rPr>
          <w:rFonts w:ascii="Times New Roman" w:eastAsia="Calibri" w:hAnsi="Times New Roman" w:cs="Times New Roman"/>
          <w:b/>
          <w:bCs/>
          <w:sz w:val="18"/>
          <w:szCs w:val="18"/>
        </w:rPr>
        <w:instrText xml:space="preserve"> SEQ Tabela \* ARABIC </w:instrText>
      </w:r>
      <w:r w:rsidR="00572C29" w:rsidRPr="00A52EF3">
        <w:rPr>
          <w:rFonts w:ascii="Times New Roman" w:eastAsia="Calibri" w:hAnsi="Times New Roman" w:cs="Times New Roman"/>
          <w:b/>
          <w:bCs/>
          <w:sz w:val="18"/>
          <w:szCs w:val="18"/>
        </w:rPr>
        <w:fldChar w:fldCharType="separate"/>
      </w:r>
      <w:r w:rsidR="00E675C7">
        <w:rPr>
          <w:rFonts w:ascii="Times New Roman" w:eastAsia="Calibri" w:hAnsi="Times New Roman" w:cs="Times New Roman"/>
          <w:b/>
          <w:bCs/>
          <w:noProof/>
          <w:sz w:val="18"/>
          <w:szCs w:val="18"/>
        </w:rPr>
        <w:t>10</w:t>
      </w:r>
      <w:r w:rsidR="00572C29" w:rsidRPr="00A52EF3">
        <w:rPr>
          <w:rFonts w:ascii="Times New Roman" w:eastAsia="Calibri" w:hAnsi="Times New Roman" w:cs="Times New Roman"/>
          <w:b/>
          <w:bCs/>
          <w:sz w:val="18"/>
          <w:szCs w:val="18"/>
        </w:rPr>
        <w:fldChar w:fldCharType="end"/>
      </w:r>
      <w:r w:rsidRPr="00A52EF3">
        <w:rPr>
          <w:rFonts w:ascii="Times New Roman" w:eastAsia="Calibri" w:hAnsi="Times New Roman" w:cs="Times New Roman"/>
          <w:b/>
          <w:bCs/>
          <w:sz w:val="18"/>
          <w:szCs w:val="18"/>
        </w:rPr>
        <w:t>. Wartości opałowe (WO) i wskaźniki emisji CO</w:t>
      </w:r>
      <w:r w:rsidRPr="00A52EF3">
        <w:rPr>
          <w:rFonts w:ascii="Times New Roman" w:eastAsia="Calibri" w:hAnsi="Times New Roman" w:cs="Times New Roman"/>
          <w:b/>
          <w:bCs/>
          <w:sz w:val="18"/>
          <w:szCs w:val="18"/>
          <w:vertAlign w:val="subscript"/>
        </w:rPr>
        <w:t>2</w:t>
      </w:r>
      <w:bookmarkEnd w:id="49"/>
      <w:bookmarkEnd w:id="50"/>
      <w:r w:rsidR="00477692" w:rsidRPr="00A52EF3">
        <w:rPr>
          <w:rFonts w:ascii="Times New Roman" w:eastAsia="Calibri" w:hAnsi="Times New Roman" w:cs="Times New Roman"/>
          <w:b/>
          <w:bCs/>
          <w:sz w:val="18"/>
          <w:szCs w:val="18"/>
          <w:vertAlign w:val="subscript"/>
        </w:rPr>
        <w:t xml:space="preserve"> </w:t>
      </w:r>
      <w:r w:rsidR="00477692" w:rsidRPr="00A52EF3">
        <w:rPr>
          <w:rFonts w:ascii="Times New Roman" w:eastAsia="Calibri" w:hAnsi="Times New Roman" w:cs="Times New Roman"/>
          <w:b/>
          <w:bCs/>
          <w:sz w:val="18"/>
          <w:szCs w:val="18"/>
        </w:rPr>
        <w:t>(dane: „Wartości opałowe (WO) i wskaźniki emisji CO</w:t>
      </w:r>
      <w:r w:rsidR="00477692" w:rsidRPr="00A52EF3">
        <w:rPr>
          <w:rFonts w:ascii="Times New Roman" w:eastAsia="Calibri" w:hAnsi="Times New Roman" w:cs="Times New Roman"/>
          <w:b/>
          <w:bCs/>
          <w:sz w:val="18"/>
          <w:szCs w:val="18"/>
          <w:vertAlign w:val="subscript"/>
        </w:rPr>
        <w:t>2</w:t>
      </w:r>
      <w:r w:rsidR="00477692" w:rsidRPr="00A52EF3">
        <w:rPr>
          <w:rFonts w:ascii="Times New Roman" w:eastAsia="Calibri" w:hAnsi="Times New Roman" w:cs="Times New Roman"/>
          <w:b/>
          <w:bCs/>
          <w:sz w:val="18"/>
          <w:szCs w:val="18"/>
        </w:rPr>
        <w:t xml:space="preserve"> (WE) w roku 2012 do raportowania w ramach Wspólnotowego Systemu Handlu Uprawnieniami do Emisji za rok 2015.”)</w:t>
      </w:r>
    </w:p>
    <w:p w:rsidR="00FE3680" w:rsidRPr="00A52EF3" w:rsidRDefault="00FE3680" w:rsidP="002C1963">
      <w:pPr>
        <w:autoSpaceDE w:val="0"/>
        <w:autoSpaceDN w:val="0"/>
        <w:adjustRightInd w:val="0"/>
        <w:spacing w:after="0" w:line="360" w:lineRule="auto"/>
        <w:ind w:firstLine="720"/>
        <w:jc w:val="both"/>
        <w:rPr>
          <w:rFonts w:ascii="Times New Roman" w:eastAsia="Calibri" w:hAnsi="Times New Roman" w:cs="Times New Roman"/>
          <w:bCs/>
          <w:sz w:val="24"/>
          <w:szCs w:val="24"/>
        </w:rPr>
      </w:pPr>
      <w:r w:rsidRPr="00A52EF3">
        <w:rPr>
          <w:rFonts w:ascii="Times New Roman" w:eastAsia="Calibri" w:hAnsi="Times New Roman" w:cs="Times New Roman"/>
          <w:bCs/>
          <w:sz w:val="24"/>
          <w:szCs w:val="24"/>
        </w:rPr>
        <w:t>W „Poradniku jak opracować plan działań na rzecz zrównoważonej energii (SEAP)”wskaźnik emisji CO</w:t>
      </w:r>
      <w:r w:rsidRPr="00A52EF3">
        <w:rPr>
          <w:rFonts w:ascii="Times New Roman" w:eastAsia="Calibri" w:hAnsi="Times New Roman" w:cs="Times New Roman"/>
          <w:bCs/>
          <w:sz w:val="24"/>
          <w:szCs w:val="24"/>
          <w:vertAlign w:val="subscript"/>
        </w:rPr>
        <w:t>2</w:t>
      </w:r>
      <w:r w:rsidRPr="00A52EF3">
        <w:rPr>
          <w:rFonts w:ascii="Times New Roman" w:eastAsia="Calibri" w:hAnsi="Times New Roman" w:cs="Times New Roman"/>
          <w:bCs/>
          <w:sz w:val="24"/>
          <w:szCs w:val="24"/>
        </w:rPr>
        <w:t xml:space="preserve"> wynosi zero, dla </w:t>
      </w:r>
      <w:r w:rsidRPr="00A52EF3">
        <w:rPr>
          <w:rFonts w:ascii="Times New Roman" w:eastAsia="Calibri" w:hAnsi="Times New Roman" w:cs="Times New Roman"/>
          <w:sz w:val="24"/>
          <w:szCs w:val="24"/>
        </w:rPr>
        <w:t>drewna pochodzącego z lasów zarządzanych w zrównoważony sposób, co oznacza, że średni przyrost lasu jest równy lub wyższy niż pozyskanie drewna. Na podstawie inwentaryzacji uzyskano informacje w jaki sposób było pozyskiwane drewno, dlatego też dla obiektów, które określiły sposób pozyskiwania drewna jako zrównoważony, wielkość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przyjęto jako 0, natomiast dla obiektów, które nie pozyskały drewna w sposób zrównoważony wielkość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ze spalania drewna na cele grzewcze przyjęto na poziomie 109,76 kg/ GJ.</w:t>
      </w:r>
      <w:r w:rsidR="00F32558" w:rsidRPr="00A52EF3">
        <w:rPr>
          <w:rFonts w:ascii="Times New Roman" w:eastAsia="Calibri" w:hAnsi="Times New Roman" w:cs="Times New Roman"/>
          <w:sz w:val="24"/>
          <w:szCs w:val="24"/>
        </w:rPr>
        <w:t xml:space="preserve"> W ankietach dla mieszkańców </w:t>
      </w:r>
      <w:r w:rsidR="00591A9F" w:rsidRPr="00A52EF3">
        <w:rPr>
          <w:rFonts w:ascii="Times New Roman" w:eastAsia="Calibri" w:hAnsi="Times New Roman" w:cs="Times New Roman"/>
          <w:sz w:val="24"/>
          <w:szCs w:val="24"/>
        </w:rPr>
        <w:br/>
      </w:r>
      <w:r w:rsidR="00F32558" w:rsidRPr="00A52EF3">
        <w:rPr>
          <w:rFonts w:ascii="Times New Roman" w:eastAsia="Calibri" w:hAnsi="Times New Roman" w:cs="Times New Roman"/>
          <w:sz w:val="24"/>
          <w:szCs w:val="24"/>
        </w:rPr>
        <w:t>i przedsiębiorców nie zostało wytłumaczone pojęcia „zrównoważonego pozyskiwania drewna”, skąd mogły wyniknąć błędne dane.</w:t>
      </w:r>
      <w:r w:rsidR="00953900" w:rsidRPr="00A52EF3">
        <w:rPr>
          <w:rFonts w:ascii="Times New Roman" w:eastAsia="Calibri" w:hAnsi="Times New Roman" w:cs="Times New Roman"/>
          <w:sz w:val="24"/>
          <w:szCs w:val="24"/>
        </w:rPr>
        <w:t xml:space="preserve"> W tym zakresie konieczna będzie pogłębiona analiza w czasie kontroli realizacji Planu Gospodarki Niskoemisyjnej po 2018 roku. </w:t>
      </w:r>
    </w:p>
    <w:p w:rsidR="00477692" w:rsidRPr="00A52EF3" w:rsidRDefault="00FE3680" w:rsidP="00AE756A">
      <w:pPr>
        <w:autoSpaceDE w:val="0"/>
        <w:autoSpaceDN w:val="0"/>
        <w:adjustRightInd w:val="0"/>
        <w:spacing w:after="0" w:line="360" w:lineRule="auto"/>
        <w:ind w:firstLine="72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Całkowitą emisję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z obszaru gminy otrzymano poprzez zsumowanie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wyliczonej dla wszystkich nośników energii</w:t>
      </w:r>
      <w:r w:rsidR="00DD1F74" w:rsidRPr="00A52EF3">
        <w:rPr>
          <w:rFonts w:ascii="Times New Roman" w:eastAsia="Calibri" w:hAnsi="Times New Roman" w:cs="Times New Roman"/>
          <w:sz w:val="24"/>
          <w:szCs w:val="24"/>
        </w:rPr>
        <w:t xml:space="preserve">, stosowanych na terenie gminy </w:t>
      </w:r>
      <w:r w:rsidR="00DD1F74" w:rsidRPr="00A52EF3">
        <w:rPr>
          <w:rFonts w:ascii="Times New Roman" w:eastAsia="Calibri" w:hAnsi="Times New Roman" w:cs="Times New Roman"/>
          <w:sz w:val="24"/>
          <w:szCs w:val="24"/>
        </w:rPr>
        <w:br/>
      </w:r>
      <w:r w:rsidRPr="00A52EF3">
        <w:rPr>
          <w:rFonts w:ascii="Times New Roman" w:eastAsia="Calibri" w:hAnsi="Times New Roman" w:cs="Times New Roman"/>
          <w:sz w:val="24"/>
          <w:szCs w:val="24"/>
        </w:rPr>
        <w:t>w poszczególnych sektorach. Otrzymana wielkość stanowi podstawę do określenia celu redukcyjnego wyrażonego w tonach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w:t>
      </w: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881557" w:rsidRPr="00A52EF3" w:rsidRDefault="00881557" w:rsidP="00AE756A">
      <w:pPr>
        <w:autoSpaceDE w:val="0"/>
        <w:autoSpaceDN w:val="0"/>
        <w:adjustRightInd w:val="0"/>
        <w:spacing w:after="0" w:line="360" w:lineRule="auto"/>
        <w:ind w:firstLine="720"/>
        <w:rPr>
          <w:rFonts w:ascii="Times New Roman" w:eastAsia="Calibri" w:hAnsi="Times New Roman" w:cs="Times New Roman"/>
          <w:sz w:val="24"/>
          <w:szCs w:val="24"/>
        </w:rPr>
      </w:pPr>
    </w:p>
    <w:p w:rsidR="00FE3680" w:rsidRPr="00A52EF3" w:rsidRDefault="00FE3680" w:rsidP="00AE756A">
      <w:pPr>
        <w:autoSpaceDE w:val="0"/>
        <w:autoSpaceDN w:val="0"/>
        <w:adjustRightInd w:val="0"/>
        <w:spacing w:after="0" w:line="360" w:lineRule="auto"/>
        <w:ind w:firstLine="720"/>
        <w:rPr>
          <w:rFonts w:ascii="Times New Roman" w:eastAsia="Calibri" w:hAnsi="Times New Roman" w:cs="Times New Roman"/>
          <w:sz w:val="24"/>
          <w:szCs w:val="24"/>
        </w:rPr>
      </w:pPr>
      <w:r w:rsidRPr="00A52EF3">
        <w:rPr>
          <w:rFonts w:ascii="Times New Roman" w:eastAsia="Calibri" w:hAnsi="Times New Roman" w:cs="Times New Roman"/>
          <w:sz w:val="24"/>
          <w:szCs w:val="24"/>
        </w:rPr>
        <w:lastRenderedPageBreak/>
        <w:t>W obliczeniach wielkości emisji wykorzystano wzór:</w:t>
      </w:r>
    </w:p>
    <w:p w:rsidR="00FE3680" w:rsidRPr="00A52EF3" w:rsidRDefault="00881557" w:rsidP="00F25FCA">
      <w:pPr>
        <w:autoSpaceDE w:val="0"/>
        <w:autoSpaceDN w:val="0"/>
        <w:adjustRightInd w:val="0"/>
        <w:spacing w:after="0" w:line="360" w:lineRule="auto"/>
        <w:rPr>
          <w:rFonts w:ascii="Times New Roman" w:eastAsia="Calibri" w:hAnsi="Times New Roman" w:cs="Times New Roman"/>
          <w:b/>
          <w:sz w:val="28"/>
          <w:szCs w:val="24"/>
        </w:rPr>
      </w:pPr>
      <m:oMathPara>
        <m:oMath>
          <m:sSub>
            <m:sSubPr>
              <m:ctrlPr>
                <w:rPr>
                  <w:rFonts w:ascii="Cambria Math" w:eastAsia="Calibri" w:hAnsi="Cambria Math" w:cs="Times New Roman"/>
                  <w:b/>
                  <w:i/>
                  <w:sz w:val="28"/>
                  <w:szCs w:val="24"/>
                </w:rPr>
              </m:ctrlPr>
            </m:sSubPr>
            <m:e>
              <m:r>
                <m:rPr>
                  <m:sty m:val="bi"/>
                </m:rPr>
                <w:rPr>
                  <w:rFonts w:ascii="Cambria Math" w:eastAsia="Calibri" w:hAnsi="Cambria Math" w:cs="Times New Roman"/>
                  <w:sz w:val="28"/>
                  <w:szCs w:val="24"/>
                </w:rPr>
                <m:t>E</m:t>
              </m:r>
            </m:e>
            <m:sub>
              <m:sSub>
                <m:sSubPr>
                  <m:ctrlPr>
                    <w:rPr>
                      <w:rFonts w:ascii="Cambria Math" w:eastAsia="Calibri" w:hAnsi="Cambria Math" w:cs="Times New Roman"/>
                      <w:b/>
                      <w:i/>
                      <w:sz w:val="28"/>
                      <w:szCs w:val="24"/>
                    </w:rPr>
                  </m:ctrlPr>
                </m:sSubPr>
                <m:e>
                  <m:r>
                    <m:rPr>
                      <m:sty m:val="bi"/>
                    </m:rPr>
                    <w:rPr>
                      <w:rFonts w:ascii="Cambria Math" w:eastAsia="Calibri" w:hAnsi="Cambria Math" w:cs="Times New Roman"/>
                      <w:sz w:val="28"/>
                      <w:szCs w:val="24"/>
                    </w:rPr>
                    <m:t>CO</m:t>
                  </m:r>
                </m:e>
                <m:sub>
                  <m:r>
                    <m:rPr>
                      <m:sty m:val="bi"/>
                    </m:rPr>
                    <w:rPr>
                      <w:rFonts w:ascii="Cambria Math" w:eastAsia="Calibri" w:hAnsi="Cambria Math" w:cs="Times New Roman"/>
                      <w:sz w:val="28"/>
                      <w:szCs w:val="24"/>
                    </w:rPr>
                    <m:t>2</m:t>
                  </m:r>
                </m:sub>
              </m:sSub>
            </m:sub>
          </m:sSub>
          <m:r>
            <m:rPr>
              <m:sty m:val="bi"/>
            </m:rPr>
            <w:rPr>
              <w:rFonts w:ascii="Cambria Math" w:eastAsia="Calibri" w:hAnsi="Cambria Math" w:cs="Times New Roman"/>
              <w:sz w:val="28"/>
              <w:szCs w:val="24"/>
            </w:rPr>
            <m:t>=C×EF</m:t>
          </m:r>
        </m:oMath>
      </m:oMathPara>
    </w:p>
    <w:p w:rsidR="00FE3680" w:rsidRPr="00A52EF3" w:rsidRDefault="00FE3680" w:rsidP="00F25FCA">
      <w:pPr>
        <w:autoSpaceDE w:val="0"/>
        <w:autoSpaceDN w:val="0"/>
        <w:adjustRightInd w:val="0"/>
        <w:spacing w:after="0" w:line="360" w:lineRule="auto"/>
        <w:rPr>
          <w:rFonts w:ascii="Times New Roman" w:eastAsia="Calibri" w:hAnsi="Times New Roman" w:cs="Times New Roman"/>
          <w:sz w:val="24"/>
          <w:szCs w:val="24"/>
        </w:rPr>
      </w:pPr>
    </w:p>
    <w:p w:rsidR="00FE3680" w:rsidRPr="00A52EF3" w:rsidRDefault="00FE3680" w:rsidP="00F25FCA">
      <w:pPr>
        <w:autoSpaceDE w:val="0"/>
        <w:autoSpaceDN w:val="0"/>
        <w:adjustRightInd w:val="0"/>
        <w:spacing w:after="0" w:line="360" w:lineRule="auto"/>
        <w:rPr>
          <w:rFonts w:ascii="Times New Roman" w:eastAsia="Calibri" w:hAnsi="Times New Roman" w:cs="Times New Roman"/>
          <w:sz w:val="24"/>
          <w:szCs w:val="24"/>
        </w:rPr>
      </w:pPr>
      <w:r w:rsidRPr="00A52EF3">
        <w:rPr>
          <w:rFonts w:ascii="Times New Roman" w:eastAsia="Calibri" w:hAnsi="Times New Roman" w:cs="Times New Roman"/>
          <w:sz w:val="24"/>
          <w:szCs w:val="24"/>
        </w:rPr>
        <w:t>gdzie:</w:t>
      </w:r>
    </w:p>
    <w:p w:rsidR="00FE3680" w:rsidRPr="00A52EF3" w:rsidRDefault="00881557" w:rsidP="00F25FCA">
      <w:pPr>
        <w:autoSpaceDE w:val="0"/>
        <w:autoSpaceDN w:val="0"/>
        <w:adjustRightInd w:val="0"/>
        <w:spacing w:after="0" w:line="360" w:lineRule="auto"/>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CO</m:t>
                </m:r>
              </m:e>
              <m:sub>
                <m:r>
                  <w:rPr>
                    <w:rFonts w:ascii="Cambria Math" w:eastAsia="Calibri" w:hAnsi="Cambria Math" w:cs="Times New Roman"/>
                    <w:sz w:val="24"/>
                    <w:szCs w:val="24"/>
                  </w:rPr>
                  <m:t>2</m:t>
                </m:r>
              </m:sub>
            </m:sSub>
          </m:sub>
        </m:sSub>
      </m:oMath>
      <w:r w:rsidR="00FE3680" w:rsidRPr="00A52EF3">
        <w:rPr>
          <w:rFonts w:ascii="Times New Roman" w:eastAsia="Calibri" w:hAnsi="Times New Roman" w:cs="Times New Roman"/>
          <w:sz w:val="24"/>
          <w:szCs w:val="24"/>
        </w:rPr>
        <w:t>- wielkość emisji CO</w:t>
      </w:r>
      <w:r w:rsidR="00FE3680" w:rsidRPr="00A52EF3">
        <w:rPr>
          <w:rFonts w:ascii="Times New Roman" w:eastAsia="Calibri" w:hAnsi="Times New Roman" w:cs="Times New Roman"/>
          <w:sz w:val="24"/>
          <w:szCs w:val="24"/>
          <w:vertAlign w:val="subscript"/>
        </w:rPr>
        <w:t>2</w:t>
      </w:r>
      <w:r w:rsidR="00FE3680" w:rsidRPr="00A52EF3">
        <w:rPr>
          <w:rFonts w:ascii="Times New Roman" w:eastAsia="Calibri" w:hAnsi="Times New Roman" w:cs="Times New Roman"/>
          <w:sz w:val="24"/>
          <w:szCs w:val="24"/>
        </w:rPr>
        <w:t xml:space="preserve"> [Mg CO</w:t>
      </w:r>
      <w:r w:rsidR="00FE3680" w:rsidRPr="00A52EF3">
        <w:rPr>
          <w:rFonts w:ascii="Times New Roman" w:eastAsia="Calibri" w:hAnsi="Times New Roman" w:cs="Times New Roman"/>
          <w:sz w:val="24"/>
          <w:szCs w:val="24"/>
          <w:vertAlign w:val="subscript"/>
        </w:rPr>
        <w:t>2</w:t>
      </w:r>
      <w:r w:rsidR="00FE3680" w:rsidRPr="00A52EF3">
        <w:rPr>
          <w:rFonts w:ascii="Times New Roman" w:eastAsia="Calibri" w:hAnsi="Times New Roman" w:cs="Times New Roman"/>
          <w:sz w:val="24"/>
          <w:szCs w:val="24"/>
        </w:rPr>
        <w:t>],</w:t>
      </w:r>
    </w:p>
    <w:p w:rsidR="00FE3680" w:rsidRPr="00A52EF3" w:rsidRDefault="00FE3680" w:rsidP="00F25FCA">
      <w:pPr>
        <w:autoSpaceDE w:val="0"/>
        <w:autoSpaceDN w:val="0"/>
        <w:adjustRightInd w:val="0"/>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C</m:t>
        </m:r>
      </m:oMath>
      <w:r w:rsidRPr="00A52EF3">
        <w:rPr>
          <w:rFonts w:ascii="Times New Roman" w:eastAsia="Calibri" w:hAnsi="Times New Roman" w:cs="Times New Roman"/>
          <w:sz w:val="24"/>
          <w:szCs w:val="24"/>
        </w:rPr>
        <w:t xml:space="preserve"> – wielkość zużycia energii [MWh]</w:t>
      </w:r>
    </w:p>
    <w:p w:rsidR="00FE3680" w:rsidRPr="00A52EF3" w:rsidRDefault="00FE3680" w:rsidP="00F25FCA">
      <w:pPr>
        <w:spacing w:line="360" w:lineRule="auto"/>
        <w:rPr>
          <w:rFonts w:ascii="Times New Roman" w:eastAsia="Calibri" w:hAnsi="Times New Roman" w:cs="Times New Roman"/>
          <w:sz w:val="24"/>
          <w:szCs w:val="24"/>
        </w:rPr>
      </w:pPr>
      <m:oMath>
        <m:r>
          <w:rPr>
            <w:rFonts w:ascii="Cambria Math" w:eastAsia="Calibri" w:hAnsi="Cambria Math" w:cs="Times New Roman"/>
            <w:sz w:val="24"/>
            <w:szCs w:val="24"/>
          </w:rPr>
          <m:t>EF</m:t>
        </m:r>
      </m:oMath>
      <w:r w:rsidRPr="00A52EF3">
        <w:rPr>
          <w:rFonts w:ascii="Times New Roman" w:eastAsia="Calibri" w:hAnsi="Times New Roman" w:cs="Times New Roman"/>
          <w:sz w:val="24"/>
          <w:szCs w:val="24"/>
        </w:rPr>
        <w:t xml:space="preserve"> – wskaźnik emisji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[MgCO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/MWh]]</w:t>
      </w:r>
    </w:p>
    <w:p w:rsidR="00FE3680" w:rsidRPr="00A52EF3" w:rsidRDefault="00FE3680" w:rsidP="00F25FCA">
      <w:pPr>
        <w:spacing w:line="360" w:lineRule="auto"/>
        <w:rPr>
          <w:rFonts w:ascii="Times New Roman" w:hAnsi="Times New Roman" w:cs="Times New Roman"/>
        </w:rPr>
      </w:pPr>
    </w:p>
    <w:p w:rsidR="00DD1F74" w:rsidRPr="00A52EF3" w:rsidRDefault="00DD1F74" w:rsidP="00545ED4">
      <w:pPr>
        <w:pStyle w:val="Nagwek2"/>
        <w:numPr>
          <w:ilvl w:val="1"/>
          <w:numId w:val="86"/>
        </w:numPr>
        <w:spacing w:line="360" w:lineRule="auto"/>
        <w:rPr>
          <w:rFonts w:ascii="Times New Roman" w:hAnsi="Times New Roman" w:cs="Times New Roman"/>
          <w:color w:val="auto"/>
        </w:rPr>
      </w:pPr>
      <w:bookmarkStart w:id="51" w:name="_Toc449097742"/>
      <w:bookmarkStart w:id="52" w:name="_Toc470764014"/>
      <w:r w:rsidRPr="00A52EF3">
        <w:rPr>
          <w:rFonts w:ascii="Times New Roman" w:hAnsi="Times New Roman" w:cs="Times New Roman"/>
          <w:color w:val="auto"/>
        </w:rPr>
        <w:t>Budynki mieszkalne</w:t>
      </w:r>
      <w:bookmarkEnd w:id="51"/>
      <w:bookmarkEnd w:id="52"/>
    </w:p>
    <w:p w:rsidR="00575D2C" w:rsidRPr="00A52EF3" w:rsidRDefault="00575D2C" w:rsidP="00F25FCA">
      <w:pPr>
        <w:spacing w:after="0"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 xml:space="preserve">Dominującymi nośnikami energii w budynkach mieszkalnych na terenie Gminy Brody są drewno oraz węgiel. Nie są to jednak zbyt ekologiczne paliwa energetyczne. Spalanie ich powoduje szkody zarówno dla środowiska jak i zdrowia ludzi. </w:t>
      </w:r>
    </w:p>
    <w:p w:rsidR="00575D2C" w:rsidRPr="00A52EF3" w:rsidRDefault="00575D2C" w:rsidP="00F25FCA">
      <w:pPr>
        <w:spacing w:after="0"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Ponad połowa zużycia energii w budynkach mieszkalnych powstała w wyniku spalania drewna (</w:t>
      </w:r>
      <w:r w:rsidR="00705176" w:rsidRPr="00A52EF3">
        <w:rPr>
          <w:rFonts w:ascii="Times New Roman" w:hAnsi="Times New Roman" w:cs="Times New Roman"/>
          <w:sz w:val="24"/>
          <w:szCs w:val="24"/>
        </w:rPr>
        <w:t>55</w:t>
      </w:r>
      <w:r w:rsidRPr="00A52EF3">
        <w:rPr>
          <w:rFonts w:ascii="Times New Roman" w:hAnsi="Times New Roman" w:cs="Times New Roman"/>
          <w:sz w:val="24"/>
          <w:szCs w:val="24"/>
        </w:rPr>
        <w:t xml:space="preserve">%). Kolejno </w:t>
      </w:r>
      <w:r w:rsidR="00705176" w:rsidRPr="00A52EF3">
        <w:rPr>
          <w:rFonts w:ascii="Times New Roman" w:hAnsi="Times New Roman" w:cs="Times New Roman"/>
          <w:sz w:val="24"/>
          <w:szCs w:val="24"/>
        </w:rPr>
        <w:t>37</w:t>
      </w:r>
      <w:r w:rsidRPr="00A52EF3">
        <w:rPr>
          <w:rFonts w:ascii="Times New Roman" w:hAnsi="Times New Roman" w:cs="Times New Roman"/>
          <w:sz w:val="24"/>
          <w:szCs w:val="24"/>
        </w:rPr>
        <w:t xml:space="preserve">% zużytej energii powstało poprzez spalanie węgla. </w:t>
      </w:r>
    </w:p>
    <w:p w:rsidR="00575D2C" w:rsidRPr="00A52EF3" w:rsidRDefault="00575D2C" w:rsidP="00F25FCA">
      <w:pPr>
        <w:spacing w:after="0"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Emisja dwutlenku węgla w budynkach  mieszkalnych pochodziła głównie ze spalania drewna (</w:t>
      </w:r>
      <w:r w:rsidR="00327D81" w:rsidRPr="00A52EF3">
        <w:rPr>
          <w:rFonts w:ascii="Times New Roman" w:hAnsi="Times New Roman" w:cs="Times New Roman"/>
          <w:sz w:val="24"/>
          <w:szCs w:val="24"/>
        </w:rPr>
        <w:t>48</w:t>
      </w:r>
      <w:r w:rsidRPr="00A52EF3">
        <w:rPr>
          <w:rFonts w:ascii="Times New Roman" w:hAnsi="Times New Roman" w:cs="Times New Roman"/>
          <w:sz w:val="24"/>
          <w:szCs w:val="24"/>
        </w:rPr>
        <w:t>%), węgla (</w:t>
      </w:r>
      <w:r w:rsidR="00327D81" w:rsidRPr="00A52EF3">
        <w:rPr>
          <w:rFonts w:ascii="Times New Roman" w:hAnsi="Times New Roman" w:cs="Times New Roman"/>
          <w:sz w:val="24"/>
          <w:szCs w:val="24"/>
        </w:rPr>
        <w:t>42</w:t>
      </w:r>
      <w:r w:rsidRPr="00A52EF3">
        <w:rPr>
          <w:rFonts w:ascii="Times New Roman" w:hAnsi="Times New Roman" w:cs="Times New Roman"/>
          <w:sz w:val="24"/>
          <w:szCs w:val="24"/>
        </w:rPr>
        <w:t>%) oraz zużycia energii elektrycznej (</w:t>
      </w:r>
      <w:r w:rsidR="00327D81" w:rsidRPr="00A52EF3">
        <w:rPr>
          <w:rFonts w:ascii="Times New Roman" w:hAnsi="Times New Roman" w:cs="Times New Roman"/>
          <w:sz w:val="24"/>
          <w:szCs w:val="24"/>
        </w:rPr>
        <w:t>6</w:t>
      </w:r>
      <w:r w:rsidRPr="00A52EF3">
        <w:rPr>
          <w:rFonts w:ascii="Times New Roman" w:hAnsi="Times New Roman" w:cs="Times New Roman"/>
          <w:sz w:val="24"/>
          <w:szCs w:val="24"/>
        </w:rPr>
        <w:t>%).</w:t>
      </w:r>
    </w:p>
    <w:p w:rsidR="00575D2C" w:rsidRPr="00A52EF3" w:rsidRDefault="00575D2C" w:rsidP="00F25FCA">
      <w:pPr>
        <w:spacing w:after="0" w:line="360" w:lineRule="auto"/>
        <w:ind w:firstLine="720"/>
        <w:jc w:val="both"/>
        <w:rPr>
          <w:rFonts w:ascii="Times New Roman" w:hAnsi="Times New Roman" w:cs="Times New Roman"/>
          <w:sz w:val="24"/>
          <w:szCs w:val="24"/>
        </w:rPr>
      </w:pPr>
    </w:p>
    <w:tbl>
      <w:tblPr>
        <w:tblStyle w:val="Tabela-Siatka"/>
        <w:tblW w:w="5000" w:type="pct"/>
        <w:jc w:val="center"/>
        <w:tblLook w:val="04A0" w:firstRow="1" w:lastRow="0" w:firstColumn="1" w:lastColumn="0" w:noHBand="0" w:noVBand="1"/>
      </w:tblPr>
      <w:tblGrid>
        <w:gridCol w:w="3094"/>
        <w:gridCol w:w="3097"/>
        <w:gridCol w:w="3097"/>
      </w:tblGrid>
      <w:tr w:rsidR="00575D2C" w:rsidRPr="00A52EF3" w:rsidTr="00575D2C">
        <w:trPr>
          <w:jc w:val="center"/>
        </w:trPr>
        <w:tc>
          <w:tcPr>
            <w:tcW w:w="1666" w:type="pct"/>
            <w:vMerge w:val="restart"/>
            <w:vAlign w:val="center"/>
          </w:tcPr>
          <w:p w:rsidR="00575D2C" w:rsidRPr="00A52EF3" w:rsidRDefault="00575D2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vAlign w:val="center"/>
          </w:tcPr>
          <w:p w:rsidR="00575D2C" w:rsidRPr="00A52EF3" w:rsidRDefault="00575D2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vAlign w:val="center"/>
          </w:tcPr>
          <w:p w:rsidR="00575D2C" w:rsidRPr="00A52EF3" w:rsidRDefault="00575D2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575D2C" w:rsidRPr="00A52EF3" w:rsidTr="00575D2C">
        <w:trPr>
          <w:jc w:val="center"/>
        </w:trPr>
        <w:tc>
          <w:tcPr>
            <w:tcW w:w="1666" w:type="pct"/>
            <w:vMerge/>
            <w:vAlign w:val="center"/>
          </w:tcPr>
          <w:p w:rsidR="00575D2C" w:rsidRPr="00A52EF3" w:rsidRDefault="00575D2C" w:rsidP="00F25FCA">
            <w:pPr>
              <w:spacing w:line="360" w:lineRule="auto"/>
              <w:jc w:val="center"/>
              <w:rPr>
                <w:rFonts w:ascii="Times New Roman" w:hAnsi="Times New Roman" w:cs="Times New Roman"/>
                <w:b/>
                <w:sz w:val="24"/>
                <w:szCs w:val="24"/>
              </w:rPr>
            </w:pPr>
          </w:p>
        </w:tc>
        <w:tc>
          <w:tcPr>
            <w:tcW w:w="1667" w:type="pct"/>
            <w:vAlign w:val="center"/>
          </w:tcPr>
          <w:p w:rsidR="00575D2C"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575D2C" w:rsidRPr="00A52EF3">
              <w:rPr>
                <w:rFonts w:ascii="Times New Roman" w:hAnsi="Times New Roman" w:cs="Times New Roman"/>
                <w:b/>
                <w:sz w:val="24"/>
                <w:szCs w:val="24"/>
              </w:rPr>
              <w:t>/rok]</w:t>
            </w:r>
          </w:p>
        </w:tc>
        <w:tc>
          <w:tcPr>
            <w:tcW w:w="1667" w:type="pct"/>
            <w:vAlign w:val="center"/>
          </w:tcPr>
          <w:p w:rsidR="00575D2C" w:rsidRPr="00A52EF3" w:rsidRDefault="00575D2C"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575D2C" w:rsidRPr="00A52EF3" w:rsidTr="00575D2C">
        <w:trPr>
          <w:jc w:val="center"/>
        </w:trPr>
        <w:tc>
          <w:tcPr>
            <w:tcW w:w="1666"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Węgiel</w:t>
            </w:r>
          </w:p>
        </w:tc>
        <w:tc>
          <w:tcPr>
            <w:tcW w:w="1667" w:type="pct"/>
            <w:vAlign w:val="center"/>
          </w:tcPr>
          <w:p w:rsidR="00575D2C"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39 580,25</w:t>
            </w:r>
          </w:p>
        </w:tc>
        <w:tc>
          <w:tcPr>
            <w:tcW w:w="1667"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13497,97</w:t>
            </w:r>
          </w:p>
        </w:tc>
      </w:tr>
      <w:tr w:rsidR="00BE6D43" w:rsidRPr="00A52EF3" w:rsidTr="00575D2C">
        <w:trPr>
          <w:jc w:val="center"/>
        </w:trPr>
        <w:tc>
          <w:tcPr>
            <w:tcW w:w="1666" w:type="pct"/>
            <w:vAlign w:val="center"/>
          </w:tcPr>
          <w:p w:rsidR="00BE6D43" w:rsidRPr="00A52EF3" w:rsidRDefault="00BE6D4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Drewno</w:t>
            </w:r>
          </w:p>
        </w:tc>
        <w:tc>
          <w:tcPr>
            <w:tcW w:w="1667" w:type="pct"/>
            <w:vAlign w:val="center"/>
          </w:tcPr>
          <w:p w:rsidR="00BE6D43"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59 199,59</w:t>
            </w:r>
          </w:p>
        </w:tc>
        <w:tc>
          <w:tcPr>
            <w:tcW w:w="1667" w:type="pct"/>
            <w:vAlign w:val="center"/>
          </w:tcPr>
          <w:p w:rsidR="00BE6D43" w:rsidRPr="00A52EF3" w:rsidRDefault="00BE6D4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23391,89</w:t>
            </w:r>
          </w:p>
        </w:tc>
      </w:tr>
      <w:tr w:rsidR="00575D2C" w:rsidRPr="00A52EF3" w:rsidTr="00575D2C">
        <w:trPr>
          <w:jc w:val="center"/>
        </w:trPr>
        <w:tc>
          <w:tcPr>
            <w:tcW w:w="1666"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Brykiet/ Pellet</w:t>
            </w:r>
          </w:p>
        </w:tc>
        <w:tc>
          <w:tcPr>
            <w:tcW w:w="1667" w:type="pct"/>
            <w:vAlign w:val="center"/>
          </w:tcPr>
          <w:p w:rsidR="00575D2C"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306, 74</w:t>
            </w:r>
          </w:p>
        </w:tc>
        <w:tc>
          <w:tcPr>
            <w:tcW w:w="1667"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121,20</w:t>
            </w:r>
          </w:p>
        </w:tc>
      </w:tr>
      <w:tr w:rsidR="00575D2C" w:rsidRPr="00A52EF3" w:rsidTr="00575D2C">
        <w:trPr>
          <w:jc w:val="center"/>
        </w:trPr>
        <w:tc>
          <w:tcPr>
            <w:tcW w:w="1666"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ziemny</w:t>
            </w:r>
          </w:p>
        </w:tc>
        <w:tc>
          <w:tcPr>
            <w:tcW w:w="1667" w:type="pct"/>
            <w:vAlign w:val="center"/>
          </w:tcPr>
          <w:p w:rsidR="00575D2C"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4 911,93</w:t>
            </w:r>
          </w:p>
        </w:tc>
        <w:tc>
          <w:tcPr>
            <w:tcW w:w="1667"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987,06</w:t>
            </w:r>
          </w:p>
        </w:tc>
      </w:tr>
      <w:tr w:rsidR="00575D2C" w:rsidRPr="00A52EF3" w:rsidTr="00575D2C">
        <w:trPr>
          <w:jc w:val="center"/>
        </w:trPr>
        <w:tc>
          <w:tcPr>
            <w:tcW w:w="1666"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płynny (LPG)</w:t>
            </w:r>
          </w:p>
        </w:tc>
        <w:tc>
          <w:tcPr>
            <w:tcW w:w="1667" w:type="pct"/>
            <w:vAlign w:val="center"/>
          </w:tcPr>
          <w:p w:rsidR="00575D2C"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1 052,13</w:t>
            </w:r>
          </w:p>
        </w:tc>
        <w:tc>
          <w:tcPr>
            <w:tcW w:w="1667"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236,50</w:t>
            </w:r>
          </w:p>
        </w:tc>
      </w:tr>
      <w:tr w:rsidR="00575D2C" w:rsidRPr="00A52EF3" w:rsidTr="00575D2C">
        <w:trPr>
          <w:jc w:val="center"/>
        </w:trPr>
        <w:tc>
          <w:tcPr>
            <w:tcW w:w="1666"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1667" w:type="pct"/>
            <w:vAlign w:val="center"/>
          </w:tcPr>
          <w:p w:rsidR="00575D2C"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2 463,23</w:t>
            </w:r>
          </w:p>
        </w:tc>
        <w:tc>
          <w:tcPr>
            <w:tcW w:w="1667" w:type="pct"/>
            <w:vAlign w:val="center"/>
          </w:tcPr>
          <w:p w:rsidR="00575D2C" w:rsidRPr="00A52EF3" w:rsidRDefault="00575D2C"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2048,16</w:t>
            </w:r>
          </w:p>
        </w:tc>
      </w:tr>
    </w:tbl>
    <w:p w:rsidR="00575D2C" w:rsidRPr="00A52EF3" w:rsidRDefault="00575D2C" w:rsidP="00F25FCA">
      <w:pPr>
        <w:spacing w:after="0" w:line="360" w:lineRule="auto"/>
        <w:ind w:firstLine="720"/>
        <w:jc w:val="both"/>
        <w:rPr>
          <w:rFonts w:ascii="Times New Roman" w:hAnsi="Times New Roman" w:cs="Times New Roman"/>
          <w:sz w:val="24"/>
          <w:szCs w:val="24"/>
        </w:rPr>
      </w:pPr>
    </w:p>
    <w:p w:rsidR="00477692" w:rsidRPr="00A52EF3" w:rsidRDefault="00575D2C" w:rsidP="00477692">
      <w:pPr>
        <w:spacing w:line="360" w:lineRule="auto"/>
        <w:jc w:val="center"/>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62F23F3B" wp14:editId="0270B060">
            <wp:extent cx="5448300" cy="3505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5D2C" w:rsidRPr="00A52EF3" w:rsidRDefault="00327D81" w:rsidP="002C1963">
      <w:pPr>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382B029B" wp14:editId="650FC2D5">
            <wp:extent cx="5486400" cy="3933825"/>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1F74"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53" w:name="_Toc442426525"/>
      <w:bookmarkStart w:id="54" w:name="_Toc449097743"/>
      <w:bookmarkStart w:id="55" w:name="_Toc470764015"/>
      <w:r w:rsidRPr="00A52EF3">
        <w:rPr>
          <w:rFonts w:ascii="Times New Roman" w:hAnsi="Times New Roman" w:cs="Times New Roman"/>
          <w:color w:val="auto"/>
        </w:rPr>
        <w:lastRenderedPageBreak/>
        <w:t>Budynki użyteczności publicznej</w:t>
      </w:r>
      <w:bookmarkEnd w:id="53"/>
      <w:bookmarkEnd w:id="54"/>
      <w:bookmarkEnd w:id="55"/>
    </w:p>
    <w:p w:rsidR="00901772" w:rsidRPr="00A52EF3" w:rsidRDefault="00901772"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Emisja CO</w:t>
      </w:r>
      <w:r w:rsidRPr="00A52EF3">
        <w:rPr>
          <w:rFonts w:ascii="Times New Roman" w:hAnsi="Times New Roman" w:cs="Times New Roman"/>
          <w:sz w:val="24"/>
          <w:vertAlign w:val="subscript"/>
        </w:rPr>
        <w:t>2</w:t>
      </w:r>
      <w:r w:rsidRPr="00A52EF3">
        <w:rPr>
          <w:rFonts w:ascii="Times New Roman" w:hAnsi="Times New Roman" w:cs="Times New Roman"/>
          <w:sz w:val="24"/>
        </w:rPr>
        <w:t xml:space="preserve"> w tym sektorze wynikała ze spalania gazu ziemnego (93%) oraz zużycia energii elektrycznej (7%). </w:t>
      </w:r>
    </w:p>
    <w:tbl>
      <w:tblPr>
        <w:tblStyle w:val="Tabela-Siatka"/>
        <w:tblW w:w="5000" w:type="pct"/>
        <w:jc w:val="center"/>
        <w:tblLook w:val="04A0" w:firstRow="1" w:lastRow="0" w:firstColumn="1" w:lastColumn="0" w:noHBand="0" w:noVBand="1"/>
      </w:tblPr>
      <w:tblGrid>
        <w:gridCol w:w="3094"/>
        <w:gridCol w:w="3097"/>
        <w:gridCol w:w="3097"/>
      </w:tblGrid>
      <w:tr w:rsidR="00901772" w:rsidRPr="00A52EF3" w:rsidTr="008E51E7">
        <w:trPr>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901772" w:rsidRPr="00A52EF3" w:rsidTr="008E51E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rPr>
                <w:rFonts w:ascii="Times New Roman" w:hAnsi="Times New Roman" w:cs="Times New Roman"/>
                <w:b/>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901772" w:rsidRPr="00A52EF3">
              <w:rPr>
                <w:rFonts w:ascii="Times New Roman" w:hAnsi="Times New Roman" w:cs="Times New Roman"/>
                <w:b/>
                <w:sz w:val="24"/>
                <w:szCs w:val="24"/>
              </w:rPr>
              <w:t>/rok]</w:t>
            </w:r>
          </w:p>
        </w:tc>
        <w:tc>
          <w:tcPr>
            <w:tcW w:w="1667"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901772" w:rsidRPr="00A52EF3" w:rsidTr="008E51E7">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1667" w:type="pct"/>
            <w:tcBorders>
              <w:top w:val="single" w:sz="4" w:space="0" w:color="auto"/>
              <w:left w:val="single" w:sz="4" w:space="0" w:color="auto"/>
              <w:bottom w:val="single" w:sz="4" w:space="0" w:color="auto"/>
              <w:right w:val="single" w:sz="4" w:space="0" w:color="auto"/>
            </w:tcBorders>
            <w:vAlign w:val="center"/>
          </w:tcPr>
          <w:p w:rsidR="00901772"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3 708,82</w:t>
            </w:r>
          </w:p>
        </w:tc>
        <w:tc>
          <w:tcPr>
            <w:tcW w:w="1667" w:type="pct"/>
            <w:tcBorders>
              <w:top w:val="single" w:sz="4" w:space="0" w:color="auto"/>
              <w:left w:val="single" w:sz="4" w:space="0" w:color="auto"/>
              <w:bottom w:val="single" w:sz="4" w:space="0" w:color="auto"/>
              <w:right w:val="single" w:sz="4" w:space="0" w:color="auto"/>
            </w:tcBorders>
            <w:vAlign w:val="center"/>
          </w:tcPr>
          <w:p w:rsidR="00901772" w:rsidRPr="00A52EF3" w:rsidRDefault="0090177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3083.85</w:t>
            </w:r>
          </w:p>
        </w:tc>
      </w:tr>
      <w:tr w:rsidR="00901772" w:rsidRPr="00A52EF3" w:rsidTr="008E51E7">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901772" w:rsidRPr="00A52EF3" w:rsidRDefault="0090177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ziemny</w:t>
            </w:r>
          </w:p>
        </w:tc>
        <w:tc>
          <w:tcPr>
            <w:tcW w:w="1667" w:type="pct"/>
            <w:tcBorders>
              <w:top w:val="single" w:sz="4" w:space="0" w:color="auto"/>
              <w:left w:val="single" w:sz="4" w:space="0" w:color="auto"/>
              <w:bottom w:val="single" w:sz="4" w:space="0" w:color="auto"/>
              <w:right w:val="single" w:sz="4" w:space="0" w:color="auto"/>
            </w:tcBorders>
            <w:vAlign w:val="center"/>
          </w:tcPr>
          <w:p w:rsidR="00901772"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1 150,78</w:t>
            </w:r>
          </w:p>
        </w:tc>
        <w:tc>
          <w:tcPr>
            <w:tcW w:w="1667" w:type="pct"/>
            <w:tcBorders>
              <w:top w:val="single" w:sz="4" w:space="0" w:color="auto"/>
              <w:left w:val="single" w:sz="4" w:space="0" w:color="auto"/>
              <w:bottom w:val="single" w:sz="4" w:space="0" w:color="auto"/>
              <w:right w:val="single" w:sz="4" w:space="0" w:color="auto"/>
            </w:tcBorders>
            <w:vAlign w:val="center"/>
          </w:tcPr>
          <w:p w:rsidR="00901772" w:rsidRPr="00A52EF3" w:rsidRDefault="00901772"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231.25</w:t>
            </w:r>
          </w:p>
        </w:tc>
      </w:tr>
    </w:tbl>
    <w:p w:rsidR="005C637E" w:rsidRPr="00A52EF3" w:rsidRDefault="005C637E" w:rsidP="00F25FCA">
      <w:pPr>
        <w:spacing w:line="360" w:lineRule="auto"/>
        <w:rPr>
          <w:rFonts w:ascii="Times New Roman" w:hAnsi="Times New Roman" w:cs="Times New Roman"/>
        </w:rPr>
      </w:pPr>
    </w:p>
    <w:p w:rsidR="00901772" w:rsidRPr="00A52EF3" w:rsidRDefault="00901772" w:rsidP="002C1963">
      <w:pPr>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28B26402" wp14:editId="5EB37984">
            <wp:extent cx="5404514" cy="3289110"/>
            <wp:effectExtent l="19050" t="0" r="24736" b="6540"/>
            <wp:docPr id="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6272" w:rsidRPr="00A52EF3" w:rsidRDefault="00506272" w:rsidP="002C1963">
      <w:pPr>
        <w:spacing w:line="360" w:lineRule="auto"/>
        <w:jc w:val="center"/>
        <w:rPr>
          <w:rFonts w:ascii="Times New Roman" w:hAnsi="Times New Roman" w:cs="Times New Roman"/>
        </w:rPr>
      </w:pPr>
    </w:p>
    <w:p w:rsidR="00506272" w:rsidRPr="00A52EF3" w:rsidRDefault="00901772" w:rsidP="00AE756A">
      <w:pPr>
        <w:spacing w:line="360" w:lineRule="auto"/>
        <w:jc w:val="center"/>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2649A029" wp14:editId="71920B40">
            <wp:extent cx="5476875" cy="3314700"/>
            <wp:effectExtent l="0" t="0" r="0" b="0"/>
            <wp:docPr id="2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56" w:name="_Toc442426526"/>
      <w:bookmarkStart w:id="57" w:name="_Toc449097744"/>
    </w:p>
    <w:p w:rsidR="00506272" w:rsidRPr="00A52EF3" w:rsidRDefault="00506272" w:rsidP="00506272">
      <w:pPr>
        <w:rPr>
          <w:rFonts w:ascii="Times New Roman" w:hAnsi="Times New Roman" w:cs="Times New Roman"/>
        </w:rPr>
      </w:pPr>
    </w:p>
    <w:p w:rsidR="00DD1F74"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58" w:name="_Toc470764016"/>
      <w:r w:rsidRPr="00A52EF3">
        <w:rPr>
          <w:rFonts w:ascii="Times New Roman" w:hAnsi="Times New Roman" w:cs="Times New Roman"/>
          <w:color w:val="auto"/>
        </w:rPr>
        <w:t>Spółdzielnie i wspólnoty mieszkaniowe</w:t>
      </w:r>
      <w:bookmarkEnd w:id="56"/>
      <w:bookmarkEnd w:id="57"/>
      <w:bookmarkEnd w:id="58"/>
    </w:p>
    <w:p w:rsidR="00B13FEF" w:rsidRPr="00A52EF3" w:rsidRDefault="00470929" w:rsidP="00F25FCA">
      <w:pPr>
        <w:spacing w:before="120" w:line="360" w:lineRule="auto"/>
        <w:ind w:firstLine="709"/>
        <w:jc w:val="both"/>
        <w:rPr>
          <w:rFonts w:ascii="Times New Roman" w:hAnsi="Times New Roman" w:cs="Times New Roman"/>
          <w:sz w:val="24"/>
        </w:rPr>
      </w:pPr>
      <w:r w:rsidRPr="00A52EF3">
        <w:rPr>
          <w:rFonts w:ascii="Times New Roman" w:hAnsi="Times New Roman" w:cs="Times New Roman"/>
          <w:sz w:val="24"/>
        </w:rPr>
        <w:t xml:space="preserve">Na terenie Gminy Brody nie funkcjonują Spółdzielnie i Wspólnoty Mieszkaniowe. </w:t>
      </w:r>
    </w:p>
    <w:p w:rsidR="002C1963" w:rsidRPr="00A52EF3" w:rsidRDefault="002C1963" w:rsidP="002C1963">
      <w:pPr>
        <w:pStyle w:val="Nagwek2"/>
        <w:rPr>
          <w:rFonts w:ascii="Times New Roman" w:hAnsi="Times New Roman" w:cs="Times New Roman"/>
          <w:color w:val="auto"/>
        </w:rPr>
      </w:pPr>
    </w:p>
    <w:p w:rsidR="00B33CE3" w:rsidRPr="00A52EF3" w:rsidRDefault="00B13FEF" w:rsidP="00545ED4">
      <w:pPr>
        <w:pStyle w:val="Nagwek2"/>
        <w:numPr>
          <w:ilvl w:val="1"/>
          <w:numId w:val="86"/>
        </w:numPr>
        <w:rPr>
          <w:rFonts w:ascii="Times New Roman" w:hAnsi="Times New Roman" w:cs="Times New Roman"/>
          <w:color w:val="auto"/>
        </w:rPr>
      </w:pPr>
      <w:bookmarkStart w:id="59" w:name="_Toc470764017"/>
      <w:r w:rsidRPr="00A52EF3">
        <w:rPr>
          <w:rFonts w:ascii="Times New Roman" w:hAnsi="Times New Roman" w:cs="Times New Roman"/>
          <w:color w:val="auto"/>
        </w:rPr>
        <w:t>Obiekty sakralne</w:t>
      </w:r>
      <w:bookmarkEnd w:id="59"/>
    </w:p>
    <w:p w:rsidR="00B33CE3" w:rsidRPr="00A52EF3" w:rsidRDefault="00B33CE3" w:rsidP="00F25FCA">
      <w:pPr>
        <w:spacing w:line="360" w:lineRule="auto"/>
        <w:ind w:firstLine="720"/>
        <w:jc w:val="both"/>
        <w:rPr>
          <w:rFonts w:ascii="Times New Roman" w:hAnsi="Times New Roman" w:cs="Times New Roman"/>
          <w:sz w:val="24"/>
        </w:rPr>
      </w:pPr>
      <w:r w:rsidRPr="00A52EF3">
        <w:rPr>
          <w:rFonts w:ascii="Times New Roman" w:hAnsi="Times New Roman" w:cs="Times New Roman"/>
          <w:sz w:val="24"/>
        </w:rPr>
        <w:t xml:space="preserve">Zanieczyszczenie powietrza dwutlenkiem węgla, powstające przez obiekty sakralne wynikało ze spalania gazu ziemnego (49%) na cele grzewcze oraz zużycia energii elektrycznej (51%). </w:t>
      </w:r>
    </w:p>
    <w:tbl>
      <w:tblPr>
        <w:tblStyle w:val="Tabela-Siatka"/>
        <w:tblW w:w="5000" w:type="pct"/>
        <w:jc w:val="center"/>
        <w:tblLook w:val="04A0" w:firstRow="1" w:lastRow="0" w:firstColumn="1" w:lastColumn="0" w:noHBand="0" w:noVBand="1"/>
      </w:tblPr>
      <w:tblGrid>
        <w:gridCol w:w="3094"/>
        <w:gridCol w:w="3097"/>
        <w:gridCol w:w="3097"/>
      </w:tblGrid>
      <w:tr w:rsidR="00B33CE3" w:rsidRPr="00A52EF3" w:rsidTr="00B33CE3">
        <w:trPr>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B33CE3" w:rsidRPr="00A52EF3" w:rsidTr="00B33C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rPr>
                <w:rFonts w:ascii="Times New Roman" w:hAnsi="Times New Roman" w:cs="Times New Roman"/>
                <w:b/>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B33CE3" w:rsidRPr="00A52EF3">
              <w:rPr>
                <w:rFonts w:ascii="Times New Roman" w:hAnsi="Times New Roman" w:cs="Times New Roman"/>
                <w:b/>
                <w:sz w:val="24"/>
                <w:szCs w:val="24"/>
              </w:rPr>
              <w:t>/rok]</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B33CE3" w:rsidRPr="00A52EF3" w:rsidTr="00B33CE3">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1667" w:type="pct"/>
            <w:tcBorders>
              <w:top w:val="single" w:sz="4" w:space="0" w:color="auto"/>
              <w:left w:val="single" w:sz="4" w:space="0" w:color="auto"/>
              <w:bottom w:val="single" w:sz="4" w:space="0" w:color="auto"/>
              <w:right w:val="single" w:sz="4" w:space="0" w:color="auto"/>
            </w:tcBorders>
            <w:vAlign w:val="center"/>
          </w:tcPr>
          <w:p w:rsidR="00B33CE3"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24,5</w:t>
            </w:r>
          </w:p>
        </w:tc>
        <w:tc>
          <w:tcPr>
            <w:tcW w:w="1667" w:type="pct"/>
            <w:tcBorders>
              <w:top w:val="single" w:sz="4" w:space="0" w:color="auto"/>
              <w:left w:val="single" w:sz="4" w:space="0" w:color="auto"/>
              <w:bottom w:val="single" w:sz="4" w:space="0" w:color="auto"/>
              <w:right w:val="single" w:sz="4" w:space="0" w:color="auto"/>
            </w:tcBorders>
            <w:vAlign w:val="center"/>
          </w:tcPr>
          <w:p w:rsidR="00B33CE3" w:rsidRPr="00A52EF3" w:rsidRDefault="00B33CE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20,37</w:t>
            </w:r>
          </w:p>
        </w:tc>
      </w:tr>
      <w:tr w:rsidR="00B33CE3" w:rsidRPr="00A52EF3" w:rsidTr="00B33CE3">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B33CE3" w:rsidRPr="00A52EF3" w:rsidRDefault="00B33CE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ziemny</w:t>
            </w:r>
          </w:p>
        </w:tc>
        <w:tc>
          <w:tcPr>
            <w:tcW w:w="1667" w:type="pct"/>
            <w:tcBorders>
              <w:top w:val="single" w:sz="4" w:space="0" w:color="auto"/>
              <w:left w:val="single" w:sz="4" w:space="0" w:color="auto"/>
              <w:bottom w:val="single" w:sz="4" w:space="0" w:color="auto"/>
              <w:right w:val="single" w:sz="4" w:space="0" w:color="auto"/>
            </w:tcBorders>
            <w:vAlign w:val="center"/>
          </w:tcPr>
          <w:p w:rsidR="00B33CE3"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96,08</w:t>
            </w:r>
          </w:p>
        </w:tc>
        <w:tc>
          <w:tcPr>
            <w:tcW w:w="1667" w:type="pct"/>
            <w:tcBorders>
              <w:top w:val="single" w:sz="4" w:space="0" w:color="auto"/>
              <w:left w:val="single" w:sz="4" w:space="0" w:color="auto"/>
              <w:bottom w:val="single" w:sz="4" w:space="0" w:color="auto"/>
              <w:right w:val="single" w:sz="4" w:space="0" w:color="auto"/>
            </w:tcBorders>
            <w:vAlign w:val="center"/>
          </w:tcPr>
          <w:p w:rsidR="00B33CE3" w:rsidRPr="00A52EF3" w:rsidRDefault="00B33CE3"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19,31</w:t>
            </w:r>
          </w:p>
        </w:tc>
      </w:tr>
    </w:tbl>
    <w:p w:rsidR="00B33CE3" w:rsidRPr="00A52EF3" w:rsidRDefault="00B33CE3" w:rsidP="00F25FCA">
      <w:pPr>
        <w:spacing w:before="120" w:line="360" w:lineRule="auto"/>
        <w:jc w:val="both"/>
        <w:rPr>
          <w:rFonts w:ascii="Times New Roman" w:hAnsi="Times New Roman" w:cs="Times New Roman"/>
          <w:b/>
          <w:sz w:val="24"/>
        </w:rPr>
      </w:pPr>
    </w:p>
    <w:p w:rsidR="00B13FEF" w:rsidRPr="00A52EF3" w:rsidRDefault="00B33CE3" w:rsidP="00F25FCA">
      <w:pPr>
        <w:spacing w:before="120" w:line="360" w:lineRule="auto"/>
        <w:jc w:val="both"/>
        <w:rPr>
          <w:rFonts w:ascii="Times New Roman" w:hAnsi="Times New Roman" w:cs="Times New Roman"/>
          <w:sz w:val="24"/>
        </w:rPr>
      </w:pPr>
      <w:r w:rsidRPr="00A52EF3">
        <w:rPr>
          <w:rFonts w:ascii="Times New Roman" w:hAnsi="Times New Roman" w:cs="Times New Roman"/>
          <w:noProof/>
          <w:lang w:eastAsia="pl-PL"/>
        </w:rPr>
        <w:lastRenderedPageBreak/>
        <w:drawing>
          <wp:inline distT="0" distB="0" distL="0" distR="0" wp14:anchorId="0AC68599" wp14:editId="7CFFEEE8">
            <wp:extent cx="5422447" cy="3383643"/>
            <wp:effectExtent l="0" t="0" r="26035" b="2667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33CE3" w:rsidRPr="00A52EF3" w:rsidRDefault="00B33CE3" w:rsidP="00F25FCA">
      <w:pPr>
        <w:spacing w:before="120" w:line="360" w:lineRule="auto"/>
        <w:jc w:val="both"/>
        <w:rPr>
          <w:rFonts w:ascii="Times New Roman" w:hAnsi="Times New Roman" w:cs="Times New Roman"/>
          <w:sz w:val="24"/>
        </w:rPr>
      </w:pPr>
      <w:r w:rsidRPr="00A52EF3">
        <w:rPr>
          <w:rFonts w:ascii="Times New Roman" w:hAnsi="Times New Roman" w:cs="Times New Roman"/>
          <w:noProof/>
          <w:lang w:eastAsia="pl-PL"/>
        </w:rPr>
        <w:drawing>
          <wp:inline distT="0" distB="0" distL="0" distR="0" wp14:anchorId="017D408F" wp14:editId="3D224E3E">
            <wp:extent cx="5425281" cy="3321842"/>
            <wp:effectExtent l="0" t="0" r="23495" b="1206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7692" w:rsidRPr="00A52EF3" w:rsidRDefault="00477692" w:rsidP="00F25FCA">
      <w:pPr>
        <w:pStyle w:val="Nagwek2"/>
        <w:spacing w:after="120" w:line="360" w:lineRule="auto"/>
        <w:rPr>
          <w:rFonts w:ascii="Times New Roman" w:hAnsi="Times New Roman" w:cs="Times New Roman"/>
          <w:color w:val="auto"/>
        </w:rPr>
      </w:pPr>
      <w:bookmarkStart w:id="60" w:name="_Toc442426528"/>
      <w:bookmarkStart w:id="61" w:name="_Toc449097746"/>
    </w:p>
    <w:p w:rsidR="00477692" w:rsidRPr="00A52EF3" w:rsidRDefault="00477692" w:rsidP="00477692">
      <w:pPr>
        <w:rPr>
          <w:rFonts w:ascii="Times New Roman" w:hAnsi="Times New Roman" w:cs="Times New Roman"/>
        </w:rPr>
      </w:pPr>
    </w:p>
    <w:p w:rsidR="00DD1F74"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62" w:name="_Toc470764018"/>
      <w:r w:rsidRPr="00A52EF3">
        <w:rPr>
          <w:rFonts w:ascii="Times New Roman" w:hAnsi="Times New Roman" w:cs="Times New Roman"/>
          <w:color w:val="auto"/>
        </w:rPr>
        <w:lastRenderedPageBreak/>
        <w:t>Oświetlenie uliczne</w:t>
      </w:r>
      <w:bookmarkEnd w:id="60"/>
      <w:bookmarkEnd w:id="61"/>
      <w:bookmarkEnd w:id="62"/>
    </w:p>
    <w:p w:rsidR="007867A0" w:rsidRPr="00A52EF3" w:rsidRDefault="007867A0" w:rsidP="00F25FCA">
      <w:pPr>
        <w:spacing w:after="0" w:line="360" w:lineRule="auto"/>
        <w:rPr>
          <w:rFonts w:ascii="Times New Roman" w:hAnsi="Times New Roman" w:cs="Times New Roman"/>
          <w:sz w:val="24"/>
          <w:szCs w:val="24"/>
        </w:rPr>
      </w:pPr>
      <w:r w:rsidRPr="00A52EF3">
        <w:rPr>
          <w:rFonts w:ascii="Times New Roman" w:hAnsi="Times New Roman" w:cs="Times New Roman"/>
          <w:sz w:val="24"/>
          <w:szCs w:val="24"/>
        </w:rPr>
        <w:t>Zużycie energii elektrycznej na oświetlenie uliczne w 2015 r. – ok.</w:t>
      </w:r>
      <w:r w:rsidR="00442AF7" w:rsidRPr="00A52EF3">
        <w:rPr>
          <w:rFonts w:ascii="Times New Roman" w:hAnsi="Times New Roman" w:cs="Times New Roman"/>
          <w:sz w:val="24"/>
          <w:szCs w:val="24"/>
        </w:rPr>
        <w:t xml:space="preserve">1 504,04 MWh </w:t>
      </w:r>
    </w:p>
    <w:p w:rsidR="00442AF7" w:rsidRPr="00A52EF3" w:rsidRDefault="00442AF7" w:rsidP="00F25FCA">
      <w:pPr>
        <w:spacing w:after="0" w:line="360" w:lineRule="auto"/>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3070"/>
        <w:gridCol w:w="3071"/>
        <w:gridCol w:w="3071"/>
      </w:tblGrid>
      <w:tr w:rsidR="00442AF7" w:rsidRPr="00A52EF3" w:rsidTr="00944E61">
        <w:trPr>
          <w:jc w:val="center"/>
        </w:trPr>
        <w:tc>
          <w:tcPr>
            <w:tcW w:w="3070" w:type="dxa"/>
            <w:vMerge w:val="restart"/>
            <w:vAlign w:val="center"/>
          </w:tcPr>
          <w:p w:rsidR="00442AF7" w:rsidRPr="00A52EF3" w:rsidRDefault="00442AF7"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3071" w:type="dxa"/>
            <w:vAlign w:val="center"/>
          </w:tcPr>
          <w:p w:rsidR="00442AF7" w:rsidRPr="00A52EF3" w:rsidRDefault="00442AF7"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3071" w:type="dxa"/>
            <w:vAlign w:val="center"/>
          </w:tcPr>
          <w:p w:rsidR="00442AF7" w:rsidRPr="00A52EF3" w:rsidRDefault="00442AF7"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CC547F" w:rsidRPr="00A52EF3" w:rsidTr="00944E61">
        <w:trPr>
          <w:jc w:val="center"/>
        </w:trPr>
        <w:tc>
          <w:tcPr>
            <w:tcW w:w="3070" w:type="dxa"/>
            <w:vMerge/>
            <w:vAlign w:val="center"/>
          </w:tcPr>
          <w:p w:rsidR="00442AF7" w:rsidRPr="00A52EF3" w:rsidRDefault="00442AF7" w:rsidP="00F25FCA">
            <w:pPr>
              <w:spacing w:line="360" w:lineRule="auto"/>
              <w:jc w:val="center"/>
              <w:rPr>
                <w:rFonts w:ascii="Times New Roman" w:hAnsi="Times New Roman" w:cs="Times New Roman"/>
                <w:b/>
                <w:sz w:val="24"/>
                <w:szCs w:val="24"/>
              </w:rPr>
            </w:pPr>
          </w:p>
        </w:tc>
        <w:tc>
          <w:tcPr>
            <w:tcW w:w="3071" w:type="dxa"/>
            <w:vAlign w:val="center"/>
          </w:tcPr>
          <w:p w:rsidR="00442AF7"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442AF7" w:rsidRPr="00A52EF3">
              <w:rPr>
                <w:rFonts w:ascii="Times New Roman" w:hAnsi="Times New Roman" w:cs="Times New Roman"/>
                <w:b/>
                <w:sz w:val="24"/>
                <w:szCs w:val="24"/>
              </w:rPr>
              <w:t>/rok]</w:t>
            </w:r>
          </w:p>
        </w:tc>
        <w:tc>
          <w:tcPr>
            <w:tcW w:w="3071" w:type="dxa"/>
            <w:vAlign w:val="center"/>
          </w:tcPr>
          <w:p w:rsidR="00442AF7" w:rsidRPr="00A52EF3" w:rsidRDefault="00442AF7"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442AF7" w:rsidRPr="00A52EF3" w:rsidTr="00944E61">
        <w:trPr>
          <w:jc w:val="center"/>
        </w:trPr>
        <w:tc>
          <w:tcPr>
            <w:tcW w:w="3070" w:type="dxa"/>
            <w:vAlign w:val="center"/>
          </w:tcPr>
          <w:p w:rsidR="00442AF7" w:rsidRPr="00A52EF3" w:rsidRDefault="00442AF7"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3071" w:type="dxa"/>
            <w:vAlign w:val="center"/>
          </w:tcPr>
          <w:p w:rsidR="00442AF7"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1 504,04</w:t>
            </w:r>
          </w:p>
        </w:tc>
        <w:tc>
          <w:tcPr>
            <w:tcW w:w="3071" w:type="dxa"/>
            <w:vAlign w:val="center"/>
          </w:tcPr>
          <w:p w:rsidR="00442AF7" w:rsidRPr="00A52EF3" w:rsidRDefault="00416207" w:rsidP="00F25FCA">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1250,60</w:t>
            </w:r>
          </w:p>
        </w:tc>
      </w:tr>
    </w:tbl>
    <w:p w:rsidR="00477692" w:rsidRPr="00A52EF3" w:rsidRDefault="00477692" w:rsidP="00F25FCA">
      <w:pPr>
        <w:pStyle w:val="Nagwek2"/>
        <w:spacing w:after="120" w:line="360" w:lineRule="auto"/>
        <w:rPr>
          <w:rFonts w:ascii="Times New Roman" w:hAnsi="Times New Roman" w:cs="Times New Roman"/>
          <w:color w:val="auto"/>
        </w:rPr>
      </w:pPr>
      <w:bookmarkStart w:id="63" w:name="_Toc442426529"/>
      <w:bookmarkStart w:id="64" w:name="_Toc449097747"/>
    </w:p>
    <w:p w:rsidR="00DD1F74"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65" w:name="_Toc470764019"/>
      <w:r w:rsidRPr="00A52EF3">
        <w:rPr>
          <w:rFonts w:ascii="Times New Roman" w:hAnsi="Times New Roman" w:cs="Times New Roman"/>
          <w:color w:val="auto"/>
        </w:rPr>
        <w:t>Transport</w:t>
      </w:r>
      <w:bookmarkEnd w:id="63"/>
      <w:bookmarkEnd w:id="64"/>
      <w:bookmarkEnd w:id="65"/>
    </w:p>
    <w:p w:rsidR="002F33B4" w:rsidRPr="00A52EF3" w:rsidRDefault="002F33B4" w:rsidP="00F25FCA">
      <w:pPr>
        <w:spacing w:line="360" w:lineRule="auto"/>
        <w:ind w:firstLine="720"/>
        <w:jc w:val="both"/>
        <w:rPr>
          <w:rFonts w:ascii="Times New Roman" w:hAnsi="Times New Roman" w:cs="Times New Roman"/>
          <w:sz w:val="24"/>
        </w:rPr>
      </w:pPr>
      <w:r w:rsidRPr="00A52EF3">
        <w:rPr>
          <w:rFonts w:ascii="Times New Roman" w:hAnsi="Times New Roman" w:cs="Times New Roman"/>
          <w:sz w:val="24"/>
        </w:rPr>
        <w:t xml:space="preserve">Jednym z elementów ankiety przeprowadzonej wśród mieszkańców było zużycie  paliw na cele transportowe oraz rodzaj środków transportu z których korzystają. Pod uwagę wzięto motocykle, samochody osobowe, ciężarowe, dostawcze oraz rolnicze. Dominującym środkiem transportu  mieszkańców Gminy Brody są samochody osobowe. Poniższa analiza nie uwzględnia emisji z transportu publicznego, gdyż stanowi on marginalny środek komunikacji na terenie Gminy Brody oraz nie są planowane nowe systemu organizacji ruchu. </w:t>
      </w:r>
    </w:p>
    <w:tbl>
      <w:tblPr>
        <w:tblStyle w:val="Tabela-Siatka"/>
        <w:tblW w:w="5000" w:type="pct"/>
        <w:jc w:val="center"/>
        <w:tblLook w:val="04A0" w:firstRow="1" w:lastRow="0" w:firstColumn="1" w:lastColumn="0" w:noHBand="0" w:noVBand="1"/>
      </w:tblPr>
      <w:tblGrid>
        <w:gridCol w:w="3094"/>
        <w:gridCol w:w="3097"/>
        <w:gridCol w:w="3097"/>
      </w:tblGrid>
      <w:tr w:rsidR="002F33B4" w:rsidRPr="00A52EF3" w:rsidTr="00944E61">
        <w:trPr>
          <w:jc w:val="center"/>
        </w:trPr>
        <w:tc>
          <w:tcPr>
            <w:tcW w:w="1666" w:type="pct"/>
            <w:vMerge w:val="restart"/>
            <w:vAlign w:val="center"/>
          </w:tcPr>
          <w:p w:rsidR="002F33B4" w:rsidRPr="00A52EF3" w:rsidRDefault="002F33B4"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vAlign w:val="center"/>
          </w:tcPr>
          <w:p w:rsidR="002F33B4" w:rsidRPr="00A52EF3" w:rsidRDefault="002F33B4"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vAlign w:val="center"/>
          </w:tcPr>
          <w:p w:rsidR="002F33B4" w:rsidRPr="00A52EF3" w:rsidRDefault="002F33B4"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CC547F" w:rsidRPr="00A52EF3" w:rsidTr="00944E61">
        <w:trPr>
          <w:jc w:val="center"/>
        </w:trPr>
        <w:tc>
          <w:tcPr>
            <w:tcW w:w="1666" w:type="pct"/>
            <w:vMerge/>
            <w:vAlign w:val="center"/>
          </w:tcPr>
          <w:p w:rsidR="002F33B4" w:rsidRPr="00A52EF3" w:rsidRDefault="002F33B4" w:rsidP="00F25FCA">
            <w:pPr>
              <w:spacing w:line="360" w:lineRule="auto"/>
              <w:jc w:val="center"/>
              <w:rPr>
                <w:rFonts w:ascii="Times New Roman" w:hAnsi="Times New Roman" w:cs="Times New Roman"/>
                <w:b/>
                <w:sz w:val="24"/>
                <w:szCs w:val="24"/>
              </w:rPr>
            </w:pPr>
          </w:p>
        </w:tc>
        <w:tc>
          <w:tcPr>
            <w:tcW w:w="1667" w:type="pct"/>
            <w:vAlign w:val="center"/>
          </w:tcPr>
          <w:p w:rsidR="002F33B4"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2F33B4" w:rsidRPr="00A52EF3">
              <w:rPr>
                <w:rFonts w:ascii="Times New Roman" w:hAnsi="Times New Roman" w:cs="Times New Roman"/>
                <w:b/>
                <w:sz w:val="24"/>
                <w:szCs w:val="24"/>
              </w:rPr>
              <w:t>/rok]</w:t>
            </w:r>
          </w:p>
        </w:tc>
        <w:tc>
          <w:tcPr>
            <w:tcW w:w="1667" w:type="pct"/>
            <w:vAlign w:val="center"/>
          </w:tcPr>
          <w:p w:rsidR="002F33B4" w:rsidRPr="00A52EF3" w:rsidRDefault="002F33B4"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CC547F" w:rsidRPr="00A52EF3" w:rsidTr="00944E61">
        <w:trPr>
          <w:jc w:val="center"/>
        </w:trPr>
        <w:tc>
          <w:tcPr>
            <w:tcW w:w="1666" w:type="pct"/>
            <w:vAlign w:val="center"/>
          </w:tcPr>
          <w:p w:rsidR="002F33B4" w:rsidRPr="00A52EF3" w:rsidRDefault="002F33B4"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Benzyna</w:t>
            </w:r>
          </w:p>
        </w:tc>
        <w:tc>
          <w:tcPr>
            <w:tcW w:w="1667" w:type="pct"/>
            <w:vAlign w:val="center"/>
          </w:tcPr>
          <w:p w:rsidR="002F33B4" w:rsidRPr="00A52EF3" w:rsidRDefault="002540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5 043,26</w:t>
            </w:r>
          </w:p>
        </w:tc>
        <w:tc>
          <w:tcPr>
            <w:tcW w:w="1667" w:type="pct"/>
            <w:vAlign w:val="center"/>
          </w:tcPr>
          <w:p w:rsidR="002F33B4" w:rsidRPr="00A52EF3" w:rsidRDefault="002F33B4"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1245,66</w:t>
            </w:r>
          </w:p>
        </w:tc>
      </w:tr>
      <w:tr w:rsidR="00CC547F" w:rsidRPr="00A52EF3" w:rsidTr="00944E61">
        <w:trPr>
          <w:jc w:val="center"/>
        </w:trPr>
        <w:tc>
          <w:tcPr>
            <w:tcW w:w="1666" w:type="pct"/>
            <w:vAlign w:val="center"/>
          </w:tcPr>
          <w:p w:rsidR="002F33B4" w:rsidRPr="00A52EF3" w:rsidRDefault="002F33B4"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Olej napędowy</w:t>
            </w:r>
          </w:p>
        </w:tc>
        <w:tc>
          <w:tcPr>
            <w:tcW w:w="1667" w:type="pct"/>
            <w:vAlign w:val="center"/>
          </w:tcPr>
          <w:p w:rsidR="002F33B4" w:rsidRPr="00A52EF3" w:rsidRDefault="002540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1 485,03</w:t>
            </w:r>
          </w:p>
        </w:tc>
        <w:tc>
          <w:tcPr>
            <w:tcW w:w="1667" w:type="pct"/>
            <w:vAlign w:val="center"/>
          </w:tcPr>
          <w:p w:rsidR="002F33B4" w:rsidRPr="00A52EF3" w:rsidRDefault="002F33B4" w:rsidP="00F25FCA">
            <w:pPr>
              <w:spacing w:line="360" w:lineRule="auto"/>
              <w:jc w:val="center"/>
              <w:rPr>
                <w:rFonts w:ascii="Times New Roman" w:hAnsi="Times New Roman" w:cs="Times New Roman"/>
                <w:sz w:val="24"/>
              </w:rPr>
            </w:pPr>
            <w:r w:rsidRPr="00A52EF3">
              <w:rPr>
                <w:rFonts w:ascii="Times New Roman" w:hAnsi="Times New Roman" w:cs="Times New Roman"/>
                <w:sz w:val="24"/>
              </w:rPr>
              <w:t>392,03</w:t>
            </w:r>
          </w:p>
        </w:tc>
      </w:tr>
      <w:tr w:rsidR="002F33B4" w:rsidRPr="00A52EF3" w:rsidTr="00944E61">
        <w:trPr>
          <w:jc w:val="center"/>
        </w:trPr>
        <w:tc>
          <w:tcPr>
            <w:tcW w:w="1666" w:type="pct"/>
            <w:vAlign w:val="center"/>
          </w:tcPr>
          <w:p w:rsidR="002F33B4" w:rsidRPr="00A52EF3" w:rsidRDefault="002F33B4"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LPG</w:t>
            </w:r>
          </w:p>
        </w:tc>
        <w:tc>
          <w:tcPr>
            <w:tcW w:w="1667" w:type="pct"/>
            <w:vAlign w:val="center"/>
          </w:tcPr>
          <w:p w:rsidR="002F33B4" w:rsidRPr="00A52EF3" w:rsidRDefault="002540A9" w:rsidP="00F25FCA">
            <w:pPr>
              <w:spacing w:line="360" w:lineRule="auto"/>
              <w:jc w:val="center"/>
              <w:rPr>
                <w:rFonts w:ascii="Times New Roman" w:hAnsi="Times New Roman" w:cs="Times New Roman"/>
                <w:sz w:val="24"/>
              </w:rPr>
            </w:pPr>
            <w:r w:rsidRPr="00A52EF3">
              <w:rPr>
                <w:rFonts w:ascii="Times New Roman" w:hAnsi="Times New Roman" w:cs="Times New Roman"/>
                <w:sz w:val="24"/>
              </w:rPr>
              <w:t>1 889,31</w:t>
            </w:r>
          </w:p>
        </w:tc>
        <w:tc>
          <w:tcPr>
            <w:tcW w:w="1667" w:type="pct"/>
            <w:vAlign w:val="center"/>
          </w:tcPr>
          <w:p w:rsidR="002F33B4" w:rsidRPr="00A52EF3" w:rsidRDefault="002F33B4" w:rsidP="00F25FCA">
            <w:pPr>
              <w:spacing w:line="360" w:lineRule="auto"/>
              <w:jc w:val="center"/>
              <w:rPr>
                <w:rFonts w:ascii="Times New Roman" w:hAnsi="Times New Roman" w:cs="Times New Roman"/>
                <w:sz w:val="24"/>
              </w:rPr>
            </w:pPr>
            <w:r w:rsidRPr="00A52EF3">
              <w:rPr>
                <w:rFonts w:ascii="Times New Roman" w:hAnsi="Times New Roman" w:cs="Times New Roman"/>
                <w:sz w:val="24"/>
              </w:rPr>
              <w:t>424,69</w:t>
            </w:r>
          </w:p>
        </w:tc>
      </w:tr>
    </w:tbl>
    <w:p w:rsidR="0062330C" w:rsidRPr="00A52EF3" w:rsidRDefault="0062330C" w:rsidP="00F25FCA">
      <w:pPr>
        <w:spacing w:line="360" w:lineRule="auto"/>
        <w:rPr>
          <w:rFonts w:ascii="Times New Roman" w:hAnsi="Times New Roman" w:cs="Times New Roman"/>
        </w:rPr>
      </w:pPr>
    </w:p>
    <w:p w:rsidR="002F33B4" w:rsidRPr="00A52EF3" w:rsidRDefault="002F33B4" w:rsidP="00F25FCA">
      <w:pPr>
        <w:spacing w:line="360" w:lineRule="auto"/>
        <w:jc w:val="center"/>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68208560" wp14:editId="42A9ABE9">
            <wp:extent cx="5220000" cy="2880000"/>
            <wp:effectExtent l="0" t="0" r="19050" b="1587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1963" w:rsidRPr="00A52EF3" w:rsidRDefault="002F33B4" w:rsidP="00905E52">
      <w:pPr>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0234E30A" wp14:editId="41F69E7F">
            <wp:extent cx="5220000" cy="2880000"/>
            <wp:effectExtent l="0" t="0" r="19050" b="158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1963" w:rsidRPr="00A52EF3" w:rsidRDefault="002C1963" w:rsidP="00F25FCA">
      <w:pPr>
        <w:spacing w:line="360" w:lineRule="auto"/>
        <w:jc w:val="center"/>
        <w:rPr>
          <w:rFonts w:ascii="Times New Roman" w:hAnsi="Times New Roman" w:cs="Times New Roman"/>
        </w:rPr>
      </w:pPr>
    </w:p>
    <w:p w:rsidR="00AE756A" w:rsidRPr="00A52EF3" w:rsidRDefault="00AE756A" w:rsidP="00F25FCA">
      <w:pPr>
        <w:spacing w:line="360" w:lineRule="auto"/>
        <w:jc w:val="center"/>
        <w:rPr>
          <w:rFonts w:ascii="Times New Roman" w:hAnsi="Times New Roman" w:cs="Times New Roman"/>
        </w:rPr>
      </w:pPr>
    </w:p>
    <w:p w:rsidR="00AE756A" w:rsidRPr="00A52EF3" w:rsidRDefault="00AE756A" w:rsidP="00F25FCA">
      <w:pPr>
        <w:spacing w:line="360" w:lineRule="auto"/>
        <w:jc w:val="center"/>
        <w:rPr>
          <w:rFonts w:ascii="Times New Roman" w:hAnsi="Times New Roman" w:cs="Times New Roman"/>
        </w:rPr>
      </w:pPr>
    </w:p>
    <w:p w:rsidR="00AE756A" w:rsidRPr="00A52EF3" w:rsidRDefault="00AE756A" w:rsidP="00F25FCA">
      <w:pPr>
        <w:spacing w:line="360" w:lineRule="auto"/>
        <w:jc w:val="center"/>
        <w:rPr>
          <w:rFonts w:ascii="Times New Roman" w:hAnsi="Times New Roman" w:cs="Times New Roman"/>
        </w:rPr>
      </w:pPr>
    </w:p>
    <w:p w:rsidR="00DD1F74" w:rsidRPr="00A52EF3" w:rsidRDefault="00DD1F74" w:rsidP="00545ED4">
      <w:pPr>
        <w:pStyle w:val="Nagwek2"/>
        <w:numPr>
          <w:ilvl w:val="1"/>
          <w:numId w:val="86"/>
        </w:numPr>
        <w:spacing w:line="360" w:lineRule="auto"/>
        <w:rPr>
          <w:rFonts w:ascii="Times New Roman" w:hAnsi="Times New Roman" w:cs="Times New Roman"/>
          <w:color w:val="auto"/>
        </w:rPr>
      </w:pPr>
      <w:bookmarkStart w:id="66" w:name="_Toc442426530"/>
      <w:bookmarkStart w:id="67" w:name="_Toc449097748"/>
      <w:bookmarkStart w:id="68" w:name="_Toc470764020"/>
      <w:r w:rsidRPr="00A52EF3">
        <w:rPr>
          <w:rFonts w:ascii="Times New Roman" w:hAnsi="Times New Roman" w:cs="Times New Roman"/>
          <w:color w:val="auto"/>
        </w:rPr>
        <w:lastRenderedPageBreak/>
        <w:t>Przemysł</w:t>
      </w:r>
      <w:bookmarkEnd w:id="66"/>
      <w:bookmarkEnd w:id="67"/>
      <w:bookmarkEnd w:id="68"/>
    </w:p>
    <w:p w:rsidR="001A3F7B" w:rsidRPr="00A52EF3" w:rsidRDefault="001A3F7B" w:rsidP="00F25FCA">
      <w:pPr>
        <w:spacing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W niniejszym rozdziale wzięto pod uwagę dane uzyskane od dużych firm znajdujących się na terenie Gminy Brody.</w:t>
      </w:r>
    </w:p>
    <w:p w:rsidR="001A3F7B" w:rsidRPr="00A52EF3" w:rsidRDefault="001A3F7B" w:rsidP="00F25FCA">
      <w:pPr>
        <w:spacing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Dominującym nośnikiem energii, powodującym emisję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xml:space="preserve"> w tego sektora, było drewno(88%). Istotne zanieczyszczenie powietrza powodowało również wykorzystanie gazu ziemnego w przemyśle (11%).</w:t>
      </w:r>
    </w:p>
    <w:p w:rsidR="002C1963" w:rsidRPr="00A52EF3" w:rsidRDefault="002C1963" w:rsidP="00F25FCA">
      <w:pPr>
        <w:spacing w:line="360" w:lineRule="auto"/>
        <w:ind w:firstLine="720"/>
        <w:jc w:val="both"/>
        <w:rPr>
          <w:rFonts w:ascii="Times New Roman" w:hAnsi="Times New Roman" w:cs="Times New Roman"/>
          <w:sz w:val="24"/>
          <w:szCs w:val="24"/>
        </w:rPr>
      </w:pPr>
    </w:p>
    <w:tbl>
      <w:tblPr>
        <w:tblStyle w:val="Tabela-Siatka"/>
        <w:tblW w:w="5000" w:type="pct"/>
        <w:jc w:val="center"/>
        <w:tblLook w:val="04A0" w:firstRow="1" w:lastRow="0" w:firstColumn="1" w:lastColumn="0" w:noHBand="0" w:noVBand="1"/>
      </w:tblPr>
      <w:tblGrid>
        <w:gridCol w:w="3094"/>
        <w:gridCol w:w="3097"/>
        <w:gridCol w:w="3097"/>
      </w:tblGrid>
      <w:tr w:rsidR="001A3F7B" w:rsidRPr="00A52EF3" w:rsidTr="001A3F7B">
        <w:trPr>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1A3F7B" w:rsidRPr="00A52EF3" w:rsidRDefault="001A3F7B"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3F7B" w:rsidRPr="00A52EF3" w:rsidRDefault="001A3F7B"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3F7B" w:rsidRPr="00A52EF3" w:rsidRDefault="001A3F7B"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1A3F7B" w:rsidRPr="00A52EF3" w:rsidTr="001A3F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3F7B" w:rsidRPr="00A52EF3" w:rsidRDefault="001A3F7B" w:rsidP="00F25FCA">
            <w:pPr>
              <w:spacing w:line="360" w:lineRule="auto"/>
              <w:rPr>
                <w:rFonts w:ascii="Times New Roman" w:hAnsi="Times New Roman" w:cs="Times New Roman"/>
                <w:b/>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1A3F7B"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1A3F7B" w:rsidRPr="00A52EF3">
              <w:rPr>
                <w:rFonts w:ascii="Times New Roman" w:hAnsi="Times New Roman" w:cs="Times New Roman"/>
                <w:b/>
                <w:sz w:val="24"/>
                <w:szCs w:val="24"/>
              </w:rPr>
              <w:t>/rok]</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3F7B" w:rsidRPr="00A52EF3" w:rsidRDefault="001A3F7B"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447CD8" w:rsidRPr="00A52EF3" w:rsidTr="00447CD8">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447CD8" w:rsidRPr="00A52EF3" w:rsidRDefault="00447CD8"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Drewno</w:t>
            </w:r>
          </w:p>
        </w:tc>
        <w:tc>
          <w:tcPr>
            <w:tcW w:w="1667" w:type="pct"/>
            <w:tcBorders>
              <w:top w:val="single" w:sz="4" w:space="0" w:color="auto"/>
              <w:left w:val="single" w:sz="4" w:space="0" w:color="auto"/>
              <w:bottom w:val="single" w:sz="4" w:space="0" w:color="auto"/>
              <w:right w:val="single" w:sz="4" w:space="0" w:color="auto"/>
            </w:tcBorders>
            <w:vAlign w:val="center"/>
          </w:tcPr>
          <w:p w:rsidR="00447CD8"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393,25</w:t>
            </w:r>
          </w:p>
        </w:tc>
        <w:tc>
          <w:tcPr>
            <w:tcW w:w="1667" w:type="pct"/>
            <w:tcBorders>
              <w:top w:val="single" w:sz="4" w:space="0" w:color="auto"/>
              <w:left w:val="single" w:sz="4" w:space="0" w:color="auto"/>
              <w:bottom w:val="single" w:sz="4" w:space="0" w:color="auto"/>
              <w:right w:val="single" w:sz="4" w:space="0" w:color="auto"/>
            </w:tcBorders>
            <w:vAlign w:val="center"/>
          </w:tcPr>
          <w:p w:rsidR="00447CD8" w:rsidRPr="00A52EF3" w:rsidRDefault="00447CD8"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155,39</w:t>
            </w:r>
          </w:p>
        </w:tc>
      </w:tr>
      <w:tr w:rsidR="00447CD8" w:rsidRPr="00A52EF3" w:rsidTr="00447CD8">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447CD8" w:rsidRPr="00A52EF3" w:rsidRDefault="00447CD8"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1667" w:type="pct"/>
            <w:tcBorders>
              <w:top w:val="single" w:sz="4" w:space="0" w:color="auto"/>
              <w:left w:val="single" w:sz="4" w:space="0" w:color="auto"/>
              <w:bottom w:val="single" w:sz="4" w:space="0" w:color="auto"/>
              <w:right w:val="single" w:sz="4" w:space="0" w:color="auto"/>
            </w:tcBorders>
            <w:vAlign w:val="center"/>
          </w:tcPr>
          <w:p w:rsidR="00447CD8"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70</w:t>
            </w:r>
          </w:p>
        </w:tc>
        <w:tc>
          <w:tcPr>
            <w:tcW w:w="1667" w:type="pct"/>
            <w:tcBorders>
              <w:top w:val="single" w:sz="4" w:space="0" w:color="auto"/>
              <w:left w:val="single" w:sz="4" w:space="0" w:color="auto"/>
              <w:bottom w:val="single" w:sz="4" w:space="0" w:color="auto"/>
              <w:right w:val="single" w:sz="4" w:space="0" w:color="auto"/>
            </w:tcBorders>
            <w:vAlign w:val="center"/>
          </w:tcPr>
          <w:p w:rsidR="00447CD8" w:rsidRPr="00A52EF3" w:rsidRDefault="00447CD8"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58,20</w:t>
            </w:r>
          </w:p>
        </w:tc>
      </w:tr>
    </w:tbl>
    <w:p w:rsidR="001A3F7B" w:rsidRPr="00A52EF3" w:rsidRDefault="001A3F7B" w:rsidP="00F25FCA">
      <w:pPr>
        <w:spacing w:line="360" w:lineRule="auto"/>
        <w:rPr>
          <w:rFonts w:ascii="Times New Roman" w:hAnsi="Times New Roman" w:cs="Times New Roman"/>
        </w:rPr>
      </w:pPr>
    </w:p>
    <w:p w:rsidR="00447CD8" w:rsidRPr="00A52EF3" w:rsidRDefault="00447CD8" w:rsidP="00F25FCA">
      <w:pPr>
        <w:spacing w:line="360" w:lineRule="auto"/>
        <w:rPr>
          <w:rFonts w:ascii="Times New Roman" w:hAnsi="Times New Roman" w:cs="Times New Roman"/>
        </w:rPr>
      </w:pPr>
      <w:r w:rsidRPr="00A52EF3">
        <w:rPr>
          <w:rFonts w:ascii="Times New Roman" w:hAnsi="Times New Roman" w:cs="Times New Roman"/>
          <w:noProof/>
          <w:lang w:eastAsia="pl-PL"/>
        </w:rPr>
        <w:drawing>
          <wp:inline distT="0" distB="0" distL="0" distR="0" wp14:anchorId="2D2B39E5" wp14:editId="6E58C2CE">
            <wp:extent cx="5535086" cy="3153832"/>
            <wp:effectExtent l="0" t="0" r="27940" b="279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7CD8" w:rsidRPr="00A52EF3" w:rsidRDefault="00447CD8" w:rsidP="00F25FCA">
      <w:pPr>
        <w:spacing w:line="360" w:lineRule="auto"/>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5E365703" wp14:editId="65B509CB">
            <wp:extent cx="5461002" cy="3227914"/>
            <wp:effectExtent l="0" t="0" r="25400" b="1079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1963" w:rsidRPr="00A52EF3" w:rsidRDefault="002C1963" w:rsidP="00F25FCA">
      <w:pPr>
        <w:pStyle w:val="Nagwek2"/>
        <w:spacing w:line="360" w:lineRule="auto"/>
        <w:rPr>
          <w:rFonts w:ascii="Times New Roman" w:hAnsi="Times New Roman" w:cs="Times New Roman"/>
          <w:color w:val="auto"/>
        </w:rPr>
      </w:pPr>
      <w:bookmarkStart w:id="69" w:name="_Toc442426531"/>
      <w:bookmarkStart w:id="70" w:name="_Toc449097749"/>
    </w:p>
    <w:p w:rsidR="00905E52" w:rsidRPr="00A52EF3" w:rsidRDefault="00905E52" w:rsidP="00905E52">
      <w:pPr>
        <w:rPr>
          <w:rFonts w:ascii="Times New Roman" w:hAnsi="Times New Roman" w:cs="Times New Roman"/>
        </w:rPr>
      </w:pPr>
    </w:p>
    <w:p w:rsidR="00DD1F74" w:rsidRPr="00A52EF3" w:rsidRDefault="00DD1F74" w:rsidP="00545ED4">
      <w:pPr>
        <w:pStyle w:val="Nagwek2"/>
        <w:numPr>
          <w:ilvl w:val="1"/>
          <w:numId w:val="86"/>
        </w:numPr>
        <w:spacing w:line="360" w:lineRule="auto"/>
        <w:rPr>
          <w:rFonts w:ascii="Times New Roman" w:hAnsi="Times New Roman" w:cs="Times New Roman"/>
          <w:color w:val="auto"/>
        </w:rPr>
      </w:pPr>
      <w:bookmarkStart w:id="71" w:name="_Toc470764021"/>
      <w:r w:rsidRPr="00A52EF3">
        <w:rPr>
          <w:rFonts w:ascii="Times New Roman" w:hAnsi="Times New Roman" w:cs="Times New Roman"/>
          <w:color w:val="auto"/>
        </w:rPr>
        <w:t>Usługi</w:t>
      </w:r>
      <w:bookmarkEnd w:id="69"/>
      <w:bookmarkEnd w:id="70"/>
      <w:bookmarkEnd w:id="71"/>
    </w:p>
    <w:p w:rsidR="001603D1" w:rsidRPr="00A52EF3" w:rsidRDefault="001603D1" w:rsidP="00F25FCA">
      <w:pPr>
        <w:spacing w:line="360" w:lineRule="auto"/>
        <w:ind w:firstLine="720"/>
        <w:jc w:val="both"/>
        <w:rPr>
          <w:rFonts w:ascii="Times New Roman" w:hAnsi="Times New Roman" w:cs="Times New Roman"/>
          <w:sz w:val="24"/>
        </w:rPr>
      </w:pPr>
      <w:r w:rsidRPr="00A52EF3">
        <w:rPr>
          <w:rFonts w:ascii="Times New Roman" w:hAnsi="Times New Roman" w:cs="Times New Roman"/>
          <w:sz w:val="24"/>
        </w:rPr>
        <w:t>Sektor podmiotów usługowych oraz usługowo handlowych stanowi liczną gałąź gospodarki w Gminie Brody. Dominującym paliwem wykorzystywanym do ogrzewania pomieszczeń jest drewno (</w:t>
      </w:r>
      <w:r w:rsidR="00F7299A" w:rsidRPr="00A52EF3">
        <w:rPr>
          <w:rFonts w:ascii="Times New Roman" w:hAnsi="Times New Roman" w:cs="Times New Roman"/>
          <w:sz w:val="24"/>
        </w:rPr>
        <w:t>53</w:t>
      </w:r>
      <w:r w:rsidRPr="00A52EF3">
        <w:rPr>
          <w:rFonts w:ascii="Times New Roman" w:hAnsi="Times New Roman" w:cs="Times New Roman"/>
          <w:sz w:val="24"/>
        </w:rPr>
        <w:t>%) oraz węgiel (</w:t>
      </w:r>
      <w:r w:rsidR="00F7299A" w:rsidRPr="00A52EF3">
        <w:rPr>
          <w:rFonts w:ascii="Times New Roman" w:hAnsi="Times New Roman" w:cs="Times New Roman"/>
          <w:sz w:val="24"/>
        </w:rPr>
        <w:t>23</w:t>
      </w:r>
      <w:r w:rsidRPr="00A52EF3">
        <w:rPr>
          <w:rFonts w:ascii="Times New Roman" w:hAnsi="Times New Roman" w:cs="Times New Roman"/>
          <w:sz w:val="24"/>
        </w:rPr>
        <w:t xml:space="preserve">%). Największy wpływ na emisję </w:t>
      </w:r>
      <w:r w:rsidRPr="00A52EF3">
        <w:rPr>
          <w:rFonts w:ascii="Times New Roman" w:hAnsi="Times New Roman" w:cs="Times New Roman"/>
          <w:sz w:val="24"/>
        </w:rPr>
        <w:br/>
        <w:t>CO</w:t>
      </w:r>
      <w:r w:rsidRPr="00A52EF3">
        <w:rPr>
          <w:rFonts w:ascii="Times New Roman" w:hAnsi="Times New Roman" w:cs="Times New Roman"/>
          <w:sz w:val="24"/>
          <w:vertAlign w:val="subscript"/>
        </w:rPr>
        <w:t>2</w:t>
      </w:r>
      <w:r w:rsidRPr="00A52EF3">
        <w:rPr>
          <w:rFonts w:ascii="Times New Roman" w:hAnsi="Times New Roman" w:cs="Times New Roman"/>
          <w:sz w:val="24"/>
        </w:rPr>
        <w:t xml:space="preserve"> do atmosfery ma drewno oraz węgiel, które powodują emisję odpowiednio </w:t>
      </w:r>
      <w:r w:rsidRPr="00A52EF3">
        <w:rPr>
          <w:rFonts w:ascii="Times New Roman" w:hAnsi="Times New Roman" w:cs="Times New Roman"/>
          <w:sz w:val="24"/>
        </w:rPr>
        <w:br/>
      </w:r>
      <w:r w:rsidR="00F7299A" w:rsidRPr="00A52EF3">
        <w:rPr>
          <w:rFonts w:ascii="Times New Roman" w:hAnsi="Times New Roman" w:cs="Times New Roman"/>
          <w:sz w:val="24"/>
        </w:rPr>
        <w:t>56% oraz 21%</w:t>
      </w:r>
      <w:r w:rsidRPr="00A52EF3">
        <w:rPr>
          <w:rFonts w:ascii="Times New Roman" w:hAnsi="Times New Roman" w:cs="Times New Roman"/>
          <w:sz w:val="24"/>
        </w:rPr>
        <w:t xml:space="preserve"> rocznie.</w:t>
      </w:r>
    </w:p>
    <w:tbl>
      <w:tblPr>
        <w:tblStyle w:val="Tabela-Siatka"/>
        <w:tblW w:w="5000" w:type="pct"/>
        <w:jc w:val="center"/>
        <w:tblLook w:val="04A0" w:firstRow="1" w:lastRow="0" w:firstColumn="1" w:lastColumn="0" w:noHBand="0" w:noVBand="1"/>
      </w:tblPr>
      <w:tblGrid>
        <w:gridCol w:w="3094"/>
        <w:gridCol w:w="3097"/>
        <w:gridCol w:w="3097"/>
      </w:tblGrid>
      <w:tr w:rsidR="001603D1" w:rsidRPr="00A52EF3" w:rsidTr="001603D1">
        <w:trPr>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1603D1" w:rsidRPr="00A52EF3" w:rsidRDefault="001603D1"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Nośnik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1603D1" w:rsidRPr="00A52EF3" w:rsidRDefault="001603D1"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Zużycie energii</w:t>
            </w:r>
          </w:p>
        </w:tc>
        <w:tc>
          <w:tcPr>
            <w:tcW w:w="1667" w:type="pct"/>
            <w:tcBorders>
              <w:top w:val="single" w:sz="4" w:space="0" w:color="auto"/>
              <w:left w:val="single" w:sz="4" w:space="0" w:color="auto"/>
              <w:bottom w:val="single" w:sz="4" w:space="0" w:color="auto"/>
              <w:right w:val="single" w:sz="4" w:space="0" w:color="auto"/>
            </w:tcBorders>
            <w:vAlign w:val="center"/>
            <w:hideMark/>
          </w:tcPr>
          <w:p w:rsidR="001603D1" w:rsidRPr="00A52EF3" w:rsidRDefault="001603D1"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Emisja CO</w:t>
            </w:r>
            <w:r w:rsidRPr="00A52EF3">
              <w:rPr>
                <w:rFonts w:ascii="Times New Roman" w:hAnsi="Times New Roman" w:cs="Times New Roman"/>
                <w:b/>
                <w:sz w:val="24"/>
                <w:szCs w:val="24"/>
                <w:vertAlign w:val="subscript"/>
              </w:rPr>
              <w:t>2</w:t>
            </w:r>
          </w:p>
        </w:tc>
      </w:tr>
      <w:tr w:rsidR="001603D1" w:rsidRPr="00A52EF3" w:rsidTr="001603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03D1" w:rsidRPr="00A52EF3" w:rsidRDefault="001603D1" w:rsidP="00F25FCA">
            <w:pPr>
              <w:spacing w:line="360" w:lineRule="auto"/>
              <w:rPr>
                <w:rFonts w:ascii="Times New Roman" w:hAnsi="Times New Roman" w:cs="Times New Roman"/>
                <w:b/>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1603D1" w:rsidRPr="00A52EF3" w:rsidRDefault="002540A9"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w:t>
            </w:r>
            <w:r w:rsidR="001603D1" w:rsidRPr="00A52EF3">
              <w:rPr>
                <w:rFonts w:ascii="Times New Roman" w:hAnsi="Times New Roman" w:cs="Times New Roman"/>
                <w:b/>
                <w:sz w:val="24"/>
                <w:szCs w:val="24"/>
              </w:rPr>
              <w:t>/rok]</w:t>
            </w:r>
          </w:p>
        </w:tc>
        <w:tc>
          <w:tcPr>
            <w:tcW w:w="1667" w:type="pct"/>
            <w:tcBorders>
              <w:top w:val="single" w:sz="4" w:space="0" w:color="auto"/>
              <w:left w:val="single" w:sz="4" w:space="0" w:color="auto"/>
              <w:bottom w:val="single" w:sz="4" w:space="0" w:color="auto"/>
              <w:right w:val="single" w:sz="4" w:space="0" w:color="auto"/>
            </w:tcBorders>
            <w:vAlign w:val="center"/>
            <w:hideMark/>
          </w:tcPr>
          <w:p w:rsidR="001603D1" w:rsidRPr="00A52EF3" w:rsidRDefault="001603D1" w:rsidP="00F25FCA">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F7299A" w:rsidRPr="00A52EF3" w:rsidTr="001603D1">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Węgiel</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5 699,41</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1943,66</w:t>
            </w:r>
          </w:p>
        </w:tc>
      </w:tr>
      <w:tr w:rsidR="00F7299A" w:rsidRPr="00A52EF3" w:rsidTr="001603D1">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Drewno</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13 073,38</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5165,76</w:t>
            </w:r>
          </w:p>
        </w:tc>
      </w:tr>
      <w:tr w:rsidR="00F7299A" w:rsidRPr="00A52EF3" w:rsidTr="001603D1">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Energia elektryczna</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1 462</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1215,64</w:t>
            </w:r>
          </w:p>
        </w:tc>
      </w:tr>
      <w:tr w:rsidR="00F7299A" w:rsidRPr="00A52EF3" w:rsidTr="001603D1">
        <w:trPr>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Gaz ziemny</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2540A9"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4 459,94</w:t>
            </w:r>
          </w:p>
        </w:tc>
        <w:tc>
          <w:tcPr>
            <w:tcW w:w="1667" w:type="pct"/>
            <w:tcBorders>
              <w:top w:val="single" w:sz="4" w:space="0" w:color="auto"/>
              <w:left w:val="single" w:sz="4" w:space="0" w:color="auto"/>
              <w:bottom w:val="single" w:sz="4" w:space="0" w:color="auto"/>
              <w:right w:val="single" w:sz="4" w:space="0" w:color="auto"/>
            </w:tcBorders>
            <w:vAlign w:val="center"/>
            <w:hideMark/>
          </w:tcPr>
          <w:p w:rsidR="00F7299A" w:rsidRPr="00A52EF3" w:rsidRDefault="00F7299A" w:rsidP="00F25FCA">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896,23</w:t>
            </w:r>
          </w:p>
        </w:tc>
      </w:tr>
    </w:tbl>
    <w:p w:rsidR="001603D1" w:rsidRPr="00A52EF3" w:rsidRDefault="001603D1" w:rsidP="00F25FCA">
      <w:pPr>
        <w:spacing w:line="360" w:lineRule="auto"/>
        <w:rPr>
          <w:rFonts w:ascii="Times New Roman" w:hAnsi="Times New Roman" w:cs="Times New Roman"/>
        </w:rPr>
      </w:pPr>
    </w:p>
    <w:p w:rsidR="00F7299A" w:rsidRPr="00A52EF3" w:rsidRDefault="00F7299A" w:rsidP="00F25FCA">
      <w:pPr>
        <w:spacing w:line="360" w:lineRule="auto"/>
        <w:jc w:val="center"/>
        <w:rPr>
          <w:rFonts w:ascii="Times New Roman" w:hAnsi="Times New Roman" w:cs="Times New Roman"/>
        </w:rPr>
      </w:pPr>
      <w:r w:rsidRPr="00A52EF3">
        <w:rPr>
          <w:rFonts w:ascii="Times New Roman" w:hAnsi="Times New Roman" w:cs="Times New Roman"/>
          <w:noProof/>
          <w:lang w:eastAsia="pl-PL"/>
        </w:rPr>
        <w:lastRenderedPageBreak/>
        <w:drawing>
          <wp:inline distT="0" distB="0" distL="0" distR="0" wp14:anchorId="6D45ACAD" wp14:editId="24FE5353">
            <wp:extent cx="4762500" cy="28956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E756A" w:rsidRPr="00A52EF3" w:rsidRDefault="00F7299A" w:rsidP="00DC4C8E">
      <w:pPr>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4BCF4EF9" wp14:editId="6B158CA8">
            <wp:extent cx="4791075" cy="27051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72" w:name="_Toc449097750"/>
    </w:p>
    <w:p w:rsidR="00F7299A"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73" w:name="_Toc470764022"/>
      <w:r w:rsidRPr="00A52EF3">
        <w:rPr>
          <w:rFonts w:ascii="Times New Roman" w:hAnsi="Times New Roman" w:cs="Times New Roman"/>
          <w:color w:val="auto"/>
        </w:rPr>
        <w:t>Podsumowanie inwentaryzacji</w:t>
      </w:r>
      <w:bookmarkEnd w:id="72"/>
      <w:bookmarkEnd w:id="73"/>
    </w:p>
    <w:p w:rsidR="00F12E2A" w:rsidRPr="00A52EF3" w:rsidRDefault="00A364FA"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Emisja dwutlenku węgla w Gminie Brody wynika przede wszystkim ze spalania drewna (</w:t>
      </w:r>
      <w:r w:rsidR="00F12E2A" w:rsidRPr="00A52EF3">
        <w:rPr>
          <w:rFonts w:ascii="Times New Roman" w:hAnsi="Times New Roman" w:cs="Times New Roman"/>
          <w:sz w:val="24"/>
        </w:rPr>
        <w:t>5</w:t>
      </w:r>
      <w:r w:rsidRPr="00A52EF3">
        <w:rPr>
          <w:rFonts w:ascii="Times New Roman" w:hAnsi="Times New Roman" w:cs="Times New Roman"/>
          <w:sz w:val="24"/>
        </w:rPr>
        <w:t>1%), węgla (2</w:t>
      </w:r>
      <w:r w:rsidR="00F12E2A" w:rsidRPr="00A52EF3">
        <w:rPr>
          <w:rFonts w:ascii="Times New Roman" w:hAnsi="Times New Roman" w:cs="Times New Roman"/>
          <w:sz w:val="24"/>
        </w:rPr>
        <w:t>7</w:t>
      </w:r>
      <w:r w:rsidRPr="00A52EF3">
        <w:rPr>
          <w:rFonts w:ascii="Times New Roman" w:hAnsi="Times New Roman" w:cs="Times New Roman"/>
          <w:sz w:val="24"/>
        </w:rPr>
        <w:t xml:space="preserve">%) oraz zużycia energii </w:t>
      </w:r>
      <w:r w:rsidR="00F12E2A" w:rsidRPr="00A52EF3">
        <w:rPr>
          <w:rFonts w:ascii="Times New Roman" w:hAnsi="Times New Roman" w:cs="Times New Roman"/>
          <w:sz w:val="24"/>
        </w:rPr>
        <w:t>elektrycznej</w:t>
      </w:r>
      <w:r w:rsidRPr="00A52EF3">
        <w:rPr>
          <w:rFonts w:ascii="Times New Roman" w:hAnsi="Times New Roman" w:cs="Times New Roman"/>
          <w:sz w:val="24"/>
        </w:rPr>
        <w:t xml:space="preserve"> (1</w:t>
      </w:r>
      <w:r w:rsidR="00F12E2A" w:rsidRPr="00A52EF3">
        <w:rPr>
          <w:rFonts w:ascii="Times New Roman" w:hAnsi="Times New Roman" w:cs="Times New Roman"/>
          <w:sz w:val="24"/>
        </w:rPr>
        <w:t>4</w:t>
      </w:r>
      <w:r w:rsidRPr="00A52EF3">
        <w:rPr>
          <w:rFonts w:ascii="Times New Roman" w:hAnsi="Times New Roman" w:cs="Times New Roman"/>
          <w:sz w:val="24"/>
        </w:rPr>
        <w:t>%). Największymi „producentami” tego zanieczyszczenia jest sektor budownictwa mieszkalnego (</w:t>
      </w:r>
      <w:r w:rsidR="00F12E2A" w:rsidRPr="00A52EF3">
        <w:rPr>
          <w:rFonts w:ascii="Times New Roman" w:hAnsi="Times New Roman" w:cs="Times New Roman"/>
          <w:sz w:val="24"/>
        </w:rPr>
        <w:t>72</w:t>
      </w:r>
      <w:r w:rsidRPr="00A52EF3">
        <w:rPr>
          <w:rFonts w:ascii="Times New Roman" w:hAnsi="Times New Roman" w:cs="Times New Roman"/>
          <w:sz w:val="24"/>
        </w:rPr>
        <w:t xml:space="preserve">%) oraz </w:t>
      </w:r>
      <w:r w:rsidR="00F12E2A" w:rsidRPr="00A52EF3">
        <w:rPr>
          <w:rFonts w:ascii="Times New Roman" w:hAnsi="Times New Roman" w:cs="Times New Roman"/>
          <w:sz w:val="24"/>
        </w:rPr>
        <w:t>podmioty usługowe</w:t>
      </w:r>
      <w:r w:rsidRPr="00A52EF3">
        <w:rPr>
          <w:rFonts w:ascii="Times New Roman" w:hAnsi="Times New Roman" w:cs="Times New Roman"/>
          <w:sz w:val="24"/>
        </w:rPr>
        <w:t xml:space="preserve"> (</w:t>
      </w:r>
      <w:r w:rsidR="00F12E2A" w:rsidRPr="00A52EF3">
        <w:rPr>
          <w:rFonts w:ascii="Times New Roman" w:hAnsi="Times New Roman" w:cs="Times New Roman"/>
          <w:sz w:val="24"/>
        </w:rPr>
        <w:t>16</w:t>
      </w:r>
      <w:r w:rsidRPr="00A52EF3">
        <w:rPr>
          <w:rFonts w:ascii="Times New Roman" w:hAnsi="Times New Roman" w:cs="Times New Roman"/>
          <w:sz w:val="24"/>
        </w:rPr>
        <w:t>%). Wynikać może to m.in. ze złej jakości spalanego paliwa lub nieefektownej instalacji. Uwidacznia to również niską świadomość ekologiczną mieszkańców Gminy.</w:t>
      </w:r>
      <w:r w:rsidR="008E51E7" w:rsidRPr="00A52EF3">
        <w:rPr>
          <w:rFonts w:ascii="Times New Roman" w:hAnsi="Times New Roman" w:cs="Times New Roman"/>
          <w:sz w:val="24"/>
        </w:rPr>
        <w:t xml:space="preserve"> </w:t>
      </w:r>
    </w:p>
    <w:tbl>
      <w:tblPr>
        <w:tblW w:w="5000" w:type="pct"/>
        <w:jc w:val="center"/>
        <w:tblCellMar>
          <w:left w:w="70" w:type="dxa"/>
          <w:right w:w="70" w:type="dxa"/>
        </w:tblCellMar>
        <w:tblLook w:val="04A0" w:firstRow="1" w:lastRow="0" w:firstColumn="1" w:lastColumn="0" w:noHBand="0" w:noVBand="1"/>
      </w:tblPr>
      <w:tblGrid>
        <w:gridCol w:w="3620"/>
        <w:gridCol w:w="2611"/>
        <w:gridCol w:w="2981"/>
      </w:tblGrid>
      <w:tr w:rsidR="002540A9" w:rsidRPr="00A52EF3" w:rsidTr="002540A9">
        <w:trPr>
          <w:trHeight w:val="624"/>
          <w:jc w:val="center"/>
        </w:trPr>
        <w:tc>
          <w:tcPr>
            <w:tcW w:w="1965" w:type="pct"/>
            <w:vMerge w:val="restart"/>
            <w:tcBorders>
              <w:top w:val="single" w:sz="8" w:space="0" w:color="auto"/>
              <w:left w:val="single" w:sz="8" w:space="0" w:color="auto"/>
              <w:bottom w:val="nil"/>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lastRenderedPageBreak/>
              <w:t>Nośnik energii</w:t>
            </w:r>
          </w:p>
          <w:p w:rsidR="002540A9" w:rsidRPr="00A52EF3" w:rsidRDefault="002540A9" w:rsidP="00F25FCA">
            <w:pPr>
              <w:spacing w:after="0" w:line="360" w:lineRule="auto"/>
              <w:jc w:val="center"/>
              <w:rPr>
                <w:rFonts w:ascii="Times New Roman" w:eastAsia="Times New Roman" w:hAnsi="Times New Roman" w:cs="Times New Roman"/>
                <w:b/>
                <w:bCs/>
                <w:sz w:val="24"/>
                <w:szCs w:val="24"/>
                <w:lang w:eastAsia="pl-PL"/>
              </w:rPr>
            </w:pPr>
          </w:p>
        </w:tc>
        <w:tc>
          <w:tcPr>
            <w:tcW w:w="141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540A9" w:rsidRPr="00A52EF3" w:rsidRDefault="002540A9" w:rsidP="002540A9">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1618"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540A9" w:rsidRPr="00A52EF3" w:rsidRDefault="002540A9" w:rsidP="002540A9">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2540A9" w:rsidRPr="00A52EF3" w:rsidTr="002540A9">
        <w:trPr>
          <w:trHeight w:val="420"/>
          <w:jc w:val="center"/>
        </w:trPr>
        <w:tc>
          <w:tcPr>
            <w:tcW w:w="1965" w:type="pct"/>
            <w:vMerge/>
            <w:tcBorders>
              <w:left w:val="single" w:sz="8" w:space="0" w:color="auto"/>
              <w:bottom w:val="single" w:sz="8" w:space="0" w:color="000000"/>
              <w:right w:val="single" w:sz="8" w:space="0" w:color="auto"/>
            </w:tcBorders>
            <w:vAlign w:val="center"/>
            <w:hideMark/>
          </w:tcPr>
          <w:p w:rsidR="002540A9" w:rsidRPr="00A52EF3" w:rsidRDefault="002540A9" w:rsidP="00F25FCA">
            <w:pPr>
              <w:spacing w:after="0" w:line="360" w:lineRule="auto"/>
              <w:jc w:val="center"/>
              <w:rPr>
                <w:rFonts w:ascii="Times New Roman" w:eastAsia="Times New Roman" w:hAnsi="Times New Roman" w:cs="Times New Roman"/>
                <w:b/>
                <w:bCs/>
                <w:sz w:val="24"/>
                <w:szCs w:val="24"/>
                <w:lang w:eastAsia="pl-PL"/>
              </w:rPr>
            </w:pPr>
          </w:p>
        </w:tc>
        <w:tc>
          <w:tcPr>
            <w:tcW w:w="1417" w:type="pct"/>
            <w:tcBorders>
              <w:top w:val="single" w:sz="8" w:space="0" w:color="auto"/>
              <w:left w:val="single" w:sz="8" w:space="0" w:color="auto"/>
              <w:bottom w:val="single" w:sz="8" w:space="0" w:color="000000"/>
              <w:right w:val="single" w:sz="8" w:space="0" w:color="auto"/>
            </w:tcBorders>
            <w:vAlign w:val="center"/>
            <w:hideMark/>
          </w:tcPr>
          <w:p w:rsidR="002540A9" w:rsidRPr="00A52EF3" w:rsidRDefault="002540A9" w:rsidP="002540A9">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[MWh/rok]</w:t>
            </w:r>
          </w:p>
        </w:tc>
        <w:tc>
          <w:tcPr>
            <w:tcW w:w="1618" w:type="pct"/>
            <w:tcBorders>
              <w:top w:val="single" w:sz="8" w:space="0" w:color="auto"/>
              <w:left w:val="single" w:sz="8" w:space="0" w:color="auto"/>
              <w:bottom w:val="single" w:sz="8" w:space="0" w:color="000000"/>
              <w:right w:val="single" w:sz="8" w:space="0" w:color="auto"/>
            </w:tcBorders>
            <w:vAlign w:val="center"/>
            <w:hideMark/>
          </w:tcPr>
          <w:p w:rsidR="002540A9" w:rsidRPr="00A52EF3" w:rsidRDefault="002540A9" w:rsidP="002540A9">
            <w:pPr>
              <w:spacing w:line="360" w:lineRule="auto"/>
              <w:jc w:val="center"/>
              <w:rPr>
                <w:rFonts w:ascii="Times New Roman" w:hAnsi="Times New Roman" w:cs="Times New Roman"/>
                <w:b/>
                <w:sz w:val="24"/>
                <w:szCs w:val="24"/>
              </w:rPr>
            </w:pPr>
            <w:r w:rsidRPr="00A52EF3">
              <w:rPr>
                <w:rFonts w:ascii="Times New Roman" w:hAnsi="Times New Roman" w:cs="Times New Roman"/>
                <w:b/>
                <w:sz w:val="24"/>
                <w:szCs w:val="24"/>
              </w:rPr>
              <w:t>[Mg / rok]</w:t>
            </w:r>
          </w:p>
        </w:tc>
      </w:tr>
      <w:tr w:rsidR="002540A9" w:rsidRPr="00A52EF3" w:rsidTr="002540A9">
        <w:trPr>
          <w:trHeight w:val="450"/>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Gaz ziemny</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10 618,74</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2133.85</w:t>
            </w:r>
          </w:p>
        </w:tc>
      </w:tr>
      <w:tr w:rsidR="002540A9" w:rsidRPr="00A52EF3" w:rsidTr="002540A9">
        <w:trPr>
          <w:trHeight w:val="330"/>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Drewno</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72 666,22</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28713.04</w:t>
            </w:r>
          </w:p>
        </w:tc>
      </w:tr>
      <w:tr w:rsidR="002540A9" w:rsidRPr="00A52EF3" w:rsidTr="002540A9">
        <w:trPr>
          <w:trHeight w:val="330"/>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Węgiel</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45 279,66</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15441.63</w:t>
            </w:r>
          </w:p>
        </w:tc>
      </w:tr>
      <w:tr w:rsidR="002540A9" w:rsidRPr="00A52EF3" w:rsidTr="002540A9">
        <w:trPr>
          <w:trHeight w:val="555"/>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Energia elektryczna</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9 232,59</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7676.82</w:t>
            </w:r>
          </w:p>
        </w:tc>
      </w:tr>
      <w:tr w:rsidR="002540A9" w:rsidRPr="00A52EF3" w:rsidTr="002540A9">
        <w:trPr>
          <w:trHeight w:val="478"/>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Brykiet/Pellet</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306,74</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121.2</w:t>
            </w:r>
          </w:p>
        </w:tc>
      </w:tr>
      <w:tr w:rsidR="002540A9" w:rsidRPr="00A52EF3" w:rsidTr="002540A9">
        <w:trPr>
          <w:trHeight w:val="330"/>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Benzyna</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5 043,26</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1245.66</w:t>
            </w:r>
          </w:p>
        </w:tc>
      </w:tr>
      <w:tr w:rsidR="002540A9" w:rsidRPr="00A52EF3" w:rsidTr="002540A9">
        <w:trPr>
          <w:trHeight w:val="507"/>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Olej napędowy</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1 485,03</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392.03</w:t>
            </w:r>
          </w:p>
        </w:tc>
      </w:tr>
      <w:tr w:rsidR="002540A9" w:rsidRPr="00A52EF3" w:rsidTr="002540A9">
        <w:trPr>
          <w:trHeight w:val="330"/>
          <w:jc w:val="center"/>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Gaz LPG</w:t>
            </w:r>
          </w:p>
        </w:tc>
        <w:tc>
          <w:tcPr>
            <w:tcW w:w="1417" w:type="pct"/>
            <w:tcBorders>
              <w:top w:val="nil"/>
              <w:left w:val="nil"/>
              <w:bottom w:val="single" w:sz="8" w:space="0" w:color="auto"/>
              <w:right w:val="single" w:sz="8" w:space="0" w:color="auto"/>
            </w:tcBorders>
            <w:shd w:val="clear" w:color="auto" w:fill="auto"/>
            <w:vAlign w:val="center"/>
            <w:hideMark/>
          </w:tcPr>
          <w:p w:rsidR="002540A9"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2 941,44</w:t>
            </w:r>
          </w:p>
        </w:tc>
        <w:tc>
          <w:tcPr>
            <w:tcW w:w="1618" w:type="pct"/>
            <w:tcBorders>
              <w:top w:val="nil"/>
              <w:left w:val="nil"/>
              <w:bottom w:val="single" w:sz="8" w:space="0" w:color="auto"/>
              <w:right w:val="single" w:sz="8" w:space="0" w:color="auto"/>
            </w:tcBorders>
            <w:shd w:val="clear" w:color="auto" w:fill="auto"/>
            <w:vAlign w:val="center"/>
            <w:hideMark/>
          </w:tcPr>
          <w:p w:rsidR="002540A9" w:rsidRPr="00A52EF3" w:rsidRDefault="002540A9"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661.19</w:t>
            </w:r>
          </w:p>
        </w:tc>
      </w:tr>
    </w:tbl>
    <w:p w:rsidR="002C1963" w:rsidRPr="00A52EF3" w:rsidRDefault="002C1963" w:rsidP="00F25FCA">
      <w:pPr>
        <w:spacing w:line="360" w:lineRule="auto"/>
        <w:jc w:val="both"/>
        <w:rPr>
          <w:rFonts w:ascii="Times New Roman" w:hAnsi="Times New Roman" w:cs="Times New Roman"/>
          <w:sz w:val="24"/>
        </w:rPr>
      </w:pPr>
    </w:p>
    <w:p w:rsidR="00A364FA" w:rsidRPr="00A52EF3" w:rsidRDefault="008E51E7" w:rsidP="00F25FCA">
      <w:pPr>
        <w:spacing w:line="360" w:lineRule="auto"/>
        <w:jc w:val="both"/>
        <w:rPr>
          <w:rFonts w:ascii="Times New Roman" w:hAnsi="Times New Roman" w:cs="Times New Roman"/>
          <w:sz w:val="24"/>
        </w:rPr>
      </w:pPr>
      <w:r w:rsidRPr="00A52EF3">
        <w:rPr>
          <w:rFonts w:ascii="Times New Roman" w:hAnsi="Times New Roman" w:cs="Times New Roman"/>
          <w:noProof/>
          <w:sz w:val="24"/>
          <w:lang w:eastAsia="pl-PL"/>
        </w:rPr>
        <w:drawing>
          <wp:inline distT="0" distB="0" distL="0" distR="0" wp14:anchorId="34C1FFF2" wp14:editId="1184A495">
            <wp:extent cx="5760720" cy="3010200"/>
            <wp:effectExtent l="19050" t="0" r="11430"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2E2A" w:rsidRPr="00A52EF3" w:rsidRDefault="00F12E2A" w:rsidP="00F25FCA">
      <w:pPr>
        <w:spacing w:line="360" w:lineRule="auto"/>
        <w:jc w:val="both"/>
        <w:rPr>
          <w:rFonts w:ascii="Times New Roman" w:hAnsi="Times New Roman" w:cs="Times New Roman"/>
          <w:sz w:val="24"/>
        </w:rPr>
      </w:pPr>
      <w:r w:rsidRPr="00A52EF3">
        <w:rPr>
          <w:rFonts w:ascii="Times New Roman" w:hAnsi="Times New Roman" w:cs="Times New Roman"/>
          <w:noProof/>
          <w:sz w:val="24"/>
          <w:lang w:eastAsia="pl-PL"/>
        </w:rPr>
        <w:lastRenderedPageBreak/>
        <w:drawing>
          <wp:inline distT="0" distB="0" distL="0" distR="0" wp14:anchorId="28AAAE6A" wp14:editId="36F1DA85">
            <wp:extent cx="5760720" cy="3315201"/>
            <wp:effectExtent l="19050" t="0" r="11430" b="0"/>
            <wp:docPr id="2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5DD4" w:rsidRPr="00A52EF3" w:rsidRDefault="00C55DD4" w:rsidP="00F25FCA">
      <w:pPr>
        <w:spacing w:line="360" w:lineRule="auto"/>
        <w:jc w:val="both"/>
        <w:rPr>
          <w:rFonts w:ascii="Times New Roman" w:hAnsi="Times New Roman" w:cs="Times New Roman"/>
          <w:sz w:val="24"/>
        </w:rPr>
      </w:pPr>
    </w:p>
    <w:p w:rsidR="00905E52" w:rsidRPr="00A52EF3" w:rsidRDefault="00905E52" w:rsidP="00F25FCA">
      <w:pPr>
        <w:spacing w:line="360" w:lineRule="auto"/>
        <w:jc w:val="both"/>
        <w:rPr>
          <w:rFonts w:ascii="Times New Roman" w:hAnsi="Times New Roman" w:cs="Times New Roman"/>
          <w:sz w:val="24"/>
        </w:rPr>
      </w:pPr>
    </w:p>
    <w:tbl>
      <w:tblPr>
        <w:tblW w:w="5000" w:type="pct"/>
        <w:tblCellMar>
          <w:left w:w="70" w:type="dxa"/>
          <w:right w:w="70" w:type="dxa"/>
        </w:tblCellMar>
        <w:tblLook w:val="04A0" w:firstRow="1" w:lastRow="0" w:firstColumn="1" w:lastColumn="0" w:noHBand="0" w:noVBand="1"/>
      </w:tblPr>
      <w:tblGrid>
        <w:gridCol w:w="3612"/>
        <w:gridCol w:w="2601"/>
        <w:gridCol w:w="2999"/>
      </w:tblGrid>
      <w:tr w:rsidR="00F12E2A" w:rsidRPr="00A52EF3" w:rsidTr="00F12E2A">
        <w:trPr>
          <w:trHeight w:val="390"/>
        </w:trPr>
        <w:tc>
          <w:tcPr>
            <w:tcW w:w="196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Sektory odbiorców</w:t>
            </w:r>
          </w:p>
        </w:tc>
        <w:tc>
          <w:tcPr>
            <w:tcW w:w="1412" w:type="pct"/>
            <w:tcBorders>
              <w:top w:val="single" w:sz="8" w:space="0" w:color="auto"/>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1628" w:type="pct"/>
            <w:tcBorders>
              <w:top w:val="single" w:sz="8" w:space="0" w:color="auto"/>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F12E2A" w:rsidRPr="00A52EF3" w:rsidTr="00F12E2A">
        <w:trPr>
          <w:trHeight w:val="435"/>
        </w:trPr>
        <w:tc>
          <w:tcPr>
            <w:tcW w:w="1960" w:type="pct"/>
            <w:vMerge/>
            <w:tcBorders>
              <w:top w:val="single" w:sz="8" w:space="0" w:color="auto"/>
              <w:left w:val="single" w:sz="8" w:space="0" w:color="auto"/>
              <w:bottom w:val="single" w:sz="8" w:space="0" w:color="000000"/>
              <w:right w:val="single" w:sz="8" w:space="0" w:color="auto"/>
            </w:tcBorders>
            <w:vAlign w:val="center"/>
            <w:hideMark/>
          </w:tcPr>
          <w:p w:rsidR="00F12E2A" w:rsidRPr="00A52EF3" w:rsidRDefault="00F12E2A" w:rsidP="00F25FCA">
            <w:pPr>
              <w:spacing w:after="0" w:line="360" w:lineRule="auto"/>
              <w:rPr>
                <w:rFonts w:ascii="Times New Roman" w:eastAsia="Times New Roman" w:hAnsi="Times New Roman" w:cs="Times New Roman"/>
                <w:b/>
                <w:bCs/>
                <w:sz w:val="24"/>
                <w:szCs w:val="24"/>
                <w:lang w:eastAsia="pl-PL"/>
              </w:rPr>
            </w:pP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166465"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w:t>
            </w:r>
            <w:r w:rsidR="00F12E2A" w:rsidRPr="00A52EF3">
              <w:rPr>
                <w:rFonts w:ascii="Times New Roman" w:eastAsia="Times New Roman" w:hAnsi="Times New Roman" w:cs="Times New Roman"/>
                <w:b/>
                <w:bCs/>
                <w:sz w:val="24"/>
                <w:szCs w:val="24"/>
                <w:lang w:eastAsia="pl-PL"/>
              </w:rPr>
              <w:t>/rok]</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F12E2A" w:rsidRPr="00A52EF3" w:rsidTr="00F12E2A">
        <w:trPr>
          <w:trHeight w:val="390"/>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budynki mieszkalne</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107 513,87</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40282.78</w:t>
            </w:r>
          </w:p>
        </w:tc>
      </w:tr>
      <w:tr w:rsidR="00F12E2A" w:rsidRPr="00A52EF3" w:rsidTr="00F12E2A">
        <w:trPr>
          <w:trHeight w:val="705"/>
        </w:trPr>
        <w:tc>
          <w:tcPr>
            <w:tcW w:w="1960" w:type="pct"/>
            <w:tcBorders>
              <w:top w:val="nil"/>
              <w:left w:val="single" w:sz="8" w:space="0" w:color="auto"/>
              <w:bottom w:val="single" w:sz="8" w:space="0" w:color="auto"/>
              <w:right w:val="single" w:sz="8" w:space="0" w:color="auto"/>
            </w:tcBorders>
            <w:shd w:val="clear" w:color="000000" w:fill="FFFFFF"/>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budynki użyteczności publicznej</w:t>
            </w:r>
          </w:p>
        </w:tc>
        <w:tc>
          <w:tcPr>
            <w:tcW w:w="1412" w:type="pct"/>
            <w:tcBorders>
              <w:top w:val="nil"/>
              <w:left w:val="nil"/>
              <w:bottom w:val="single" w:sz="8" w:space="0" w:color="auto"/>
              <w:right w:val="single" w:sz="8" w:space="0" w:color="auto"/>
            </w:tcBorders>
            <w:shd w:val="clear" w:color="000000" w:fill="FFFFFF"/>
            <w:vAlign w:val="bottom"/>
            <w:hideMark/>
          </w:tcPr>
          <w:p w:rsidR="00F12E2A" w:rsidRPr="00A52EF3" w:rsidRDefault="00166465"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4 859,60</w:t>
            </w:r>
          </w:p>
        </w:tc>
        <w:tc>
          <w:tcPr>
            <w:tcW w:w="1628" w:type="pct"/>
            <w:tcBorders>
              <w:top w:val="nil"/>
              <w:left w:val="nil"/>
              <w:bottom w:val="single" w:sz="8" w:space="0" w:color="auto"/>
              <w:right w:val="single" w:sz="8" w:space="0" w:color="auto"/>
            </w:tcBorders>
            <w:shd w:val="clear" w:color="000000" w:fill="FFFFFF"/>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3315.1</w:t>
            </w:r>
          </w:p>
        </w:tc>
      </w:tr>
      <w:tr w:rsidR="00F12E2A" w:rsidRPr="00A52EF3" w:rsidTr="00F12E2A">
        <w:trPr>
          <w:trHeight w:val="330"/>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obiekty sakralne</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F61B30"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120,58</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39.68</w:t>
            </w:r>
          </w:p>
        </w:tc>
      </w:tr>
      <w:tr w:rsidR="00F12E2A" w:rsidRPr="00A52EF3" w:rsidTr="00F12E2A">
        <w:trPr>
          <w:trHeight w:val="330"/>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oświetlenie uliczne</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F61B30"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1 504,04</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1250.6</w:t>
            </w:r>
          </w:p>
        </w:tc>
      </w:tr>
      <w:tr w:rsidR="00F12E2A" w:rsidRPr="00A52EF3" w:rsidTr="00F12E2A">
        <w:trPr>
          <w:trHeight w:val="330"/>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transport</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F61B30"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8 417,60</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2062.38</w:t>
            </w:r>
          </w:p>
        </w:tc>
      </w:tr>
      <w:tr w:rsidR="00F12E2A" w:rsidRPr="00A52EF3" w:rsidTr="00F12E2A">
        <w:trPr>
          <w:trHeight w:val="330"/>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przemysł</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F61B30"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463,25</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213.59</w:t>
            </w:r>
          </w:p>
        </w:tc>
      </w:tr>
      <w:tr w:rsidR="00F12E2A" w:rsidRPr="00A52EF3" w:rsidTr="00F12E2A">
        <w:trPr>
          <w:trHeight w:val="338"/>
        </w:trPr>
        <w:tc>
          <w:tcPr>
            <w:tcW w:w="1960" w:type="pct"/>
            <w:tcBorders>
              <w:top w:val="nil"/>
              <w:left w:val="single" w:sz="8" w:space="0" w:color="auto"/>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Budynki usługowe (niekomunalne)</w:t>
            </w:r>
          </w:p>
        </w:tc>
        <w:tc>
          <w:tcPr>
            <w:tcW w:w="1412" w:type="pct"/>
            <w:tcBorders>
              <w:top w:val="nil"/>
              <w:left w:val="nil"/>
              <w:bottom w:val="single" w:sz="8" w:space="0" w:color="auto"/>
              <w:right w:val="single" w:sz="8" w:space="0" w:color="auto"/>
            </w:tcBorders>
            <w:shd w:val="clear" w:color="auto" w:fill="auto"/>
            <w:vAlign w:val="bottom"/>
            <w:hideMark/>
          </w:tcPr>
          <w:p w:rsidR="00F12E2A" w:rsidRPr="00A52EF3" w:rsidRDefault="00F61B30"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24 694,73</w:t>
            </w:r>
          </w:p>
        </w:tc>
        <w:tc>
          <w:tcPr>
            <w:tcW w:w="1628" w:type="pct"/>
            <w:tcBorders>
              <w:top w:val="nil"/>
              <w:left w:val="nil"/>
              <w:bottom w:val="single" w:sz="8" w:space="0" w:color="auto"/>
              <w:right w:val="single" w:sz="8" w:space="0" w:color="auto"/>
            </w:tcBorders>
            <w:shd w:val="clear" w:color="auto" w:fill="auto"/>
            <w:vAlign w:val="bottom"/>
            <w:hideMark/>
          </w:tcPr>
          <w:p w:rsidR="00F12E2A" w:rsidRPr="00A52EF3" w:rsidRDefault="00F12E2A" w:rsidP="00F25FCA">
            <w:pPr>
              <w:spacing w:after="0"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9221.29</w:t>
            </w:r>
          </w:p>
        </w:tc>
      </w:tr>
    </w:tbl>
    <w:p w:rsidR="00A364FA" w:rsidRPr="00A52EF3" w:rsidRDefault="00A364FA" w:rsidP="00F25FCA">
      <w:pPr>
        <w:spacing w:line="360" w:lineRule="auto"/>
        <w:ind w:firstLine="708"/>
        <w:jc w:val="both"/>
        <w:rPr>
          <w:rFonts w:ascii="Times New Roman" w:hAnsi="Times New Roman" w:cs="Times New Roman"/>
          <w:sz w:val="24"/>
        </w:rPr>
      </w:pPr>
    </w:p>
    <w:p w:rsidR="00F12E2A" w:rsidRPr="00A52EF3" w:rsidRDefault="00F12E2A" w:rsidP="00F25FCA">
      <w:pPr>
        <w:spacing w:line="360" w:lineRule="auto"/>
        <w:jc w:val="both"/>
        <w:rPr>
          <w:rFonts w:ascii="Times New Roman" w:hAnsi="Times New Roman" w:cs="Times New Roman"/>
          <w:sz w:val="24"/>
        </w:rPr>
      </w:pPr>
      <w:r w:rsidRPr="00A52EF3">
        <w:rPr>
          <w:rFonts w:ascii="Times New Roman" w:hAnsi="Times New Roman" w:cs="Times New Roman"/>
          <w:noProof/>
          <w:sz w:val="24"/>
          <w:lang w:eastAsia="pl-PL"/>
        </w:rPr>
        <w:lastRenderedPageBreak/>
        <w:drawing>
          <wp:inline distT="0" distB="0" distL="0" distR="0" wp14:anchorId="7758FB20" wp14:editId="2BA70086">
            <wp:extent cx="5686425" cy="3581400"/>
            <wp:effectExtent l="0" t="0" r="0" b="0"/>
            <wp:docPr id="2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2E2A" w:rsidRPr="00A52EF3" w:rsidRDefault="00F12E2A" w:rsidP="00F25FCA">
      <w:pPr>
        <w:spacing w:line="360" w:lineRule="auto"/>
        <w:jc w:val="both"/>
        <w:rPr>
          <w:rFonts w:ascii="Times New Roman" w:hAnsi="Times New Roman" w:cs="Times New Roman"/>
          <w:sz w:val="24"/>
        </w:rPr>
      </w:pPr>
      <w:r w:rsidRPr="00A52EF3">
        <w:rPr>
          <w:rFonts w:ascii="Times New Roman" w:hAnsi="Times New Roman" w:cs="Times New Roman"/>
          <w:noProof/>
          <w:sz w:val="24"/>
          <w:lang w:eastAsia="pl-PL"/>
        </w:rPr>
        <w:drawing>
          <wp:inline distT="0" distB="0" distL="0" distR="0" wp14:anchorId="40CBDEEF" wp14:editId="683450E3">
            <wp:extent cx="5691717" cy="3877733"/>
            <wp:effectExtent l="0" t="0" r="4445" b="8890"/>
            <wp:docPr id="2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590D" w:rsidRPr="00A52EF3" w:rsidRDefault="00C2590D" w:rsidP="00F25FCA">
      <w:pPr>
        <w:spacing w:line="360" w:lineRule="auto"/>
        <w:jc w:val="both"/>
        <w:rPr>
          <w:rFonts w:ascii="Times New Roman" w:hAnsi="Times New Roman" w:cs="Times New Roman"/>
          <w:sz w:val="24"/>
        </w:rPr>
      </w:pPr>
    </w:p>
    <w:p w:rsidR="00C2590D" w:rsidRPr="00A52EF3" w:rsidRDefault="00C2590D" w:rsidP="00F25FCA">
      <w:pPr>
        <w:spacing w:line="360" w:lineRule="auto"/>
        <w:jc w:val="both"/>
        <w:rPr>
          <w:rFonts w:ascii="Times New Roman" w:hAnsi="Times New Roman" w:cs="Times New Roman"/>
          <w:sz w:val="24"/>
        </w:rPr>
      </w:pPr>
      <w:r w:rsidRPr="00A52EF3">
        <w:rPr>
          <w:rFonts w:ascii="Times New Roman" w:hAnsi="Times New Roman" w:cs="Times New Roman"/>
          <w:sz w:val="24"/>
        </w:rPr>
        <w:lastRenderedPageBreak/>
        <w:t>Podsumowanie inwentaryzacji dla poszczególnych sektorów:</w:t>
      </w:r>
    </w:p>
    <w:tbl>
      <w:tblPr>
        <w:tblStyle w:val="Tabela-Siatka"/>
        <w:tblW w:w="0" w:type="auto"/>
        <w:tblLook w:val="04A0" w:firstRow="1" w:lastRow="0" w:firstColumn="1" w:lastColumn="0" w:noHBand="0" w:noVBand="1"/>
      </w:tblPr>
      <w:tblGrid>
        <w:gridCol w:w="3369"/>
        <w:gridCol w:w="2976"/>
        <w:gridCol w:w="2867"/>
      </w:tblGrid>
      <w:tr w:rsidR="00C2590D" w:rsidRPr="00A52EF3" w:rsidTr="00C2590D">
        <w:tc>
          <w:tcPr>
            <w:tcW w:w="3369" w:type="dxa"/>
            <w:vMerge w:val="restart"/>
            <w:vAlign w:val="center"/>
          </w:tcPr>
          <w:p w:rsidR="00C2590D" w:rsidRPr="00A52EF3" w:rsidRDefault="00C2590D" w:rsidP="00C2590D">
            <w:pPr>
              <w:spacing w:line="360" w:lineRule="auto"/>
              <w:jc w:val="center"/>
              <w:rPr>
                <w:rFonts w:ascii="Times New Roman" w:hAnsi="Times New Roman" w:cs="Times New Roman"/>
                <w:b/>
                <w:sz w:val="24"/>
              </w:rPr>
            </w:pPr>
            <w:r w:rsidRPr="00A52EF3">
              <w:rPr>
                <w:rFonts w:ascii="Times New Roman" w:hAnsi="Times New Roman" w:cs="Times New Roman"/>
                <w:b/>
                <w:sz w:val="24"/>
              </w:rPr>
              <w:t>Sektor publiczny</w:t>
            </w:r>
          </w:p>
        </w:tc>
        <w:tc>
          <w:tcPr>
            <w:tcW w:w="2976" w:type="dxa"/>
            <w:vAlign w:val="center"/>
          </w:tcPr>
          <w:p w:rsidR="00C2590D" w:rsidRPr="00A52EF3" w:rsidRDefault="00C2590D" w:rsidP="00C2590D">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2867" w:type="dxa"/>
            <w:vAlign w:val="center"/>
          </w:tcPr>
          <w:p w:rsidR="00C2590D" w:rsidRPr="00A52EF3" w:rsidRDefault="00C2590D" w:rsidP="00C2590D">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C2590D" w:rsidRPr="00A52EF3" w:rsidTr="00C2590D">
        <w:tc>
          <w:tcPr>
            <w:tcW w:w="3369" w:type="dxa"/>
            <w:vMerge/>
            <w:vAlign w:val="center"/>
          </w:tcPr>
          <w:p w:rsidR="00C2590D" w:rsidRPr="00A52EF3" w:rsidRDefault="00C2590D" w:rsidP="00C2590D">
            <w:pPr>
              <w:spacing w:line="360" w:lineRule="auto"/>
              <w:jc w:val="center"/>
              <w:rPr>
                <w:rFonts w:ascii="Times New Roman" w:hAnsi="Times New Roman" w:cs="Times New Roman"/>
                <w:sz w:val="24"/>
              </w:rPr>
            </w:pPr>
          </w:p>
        </w:tc>
        <w:tc>
          <w:tcPr>
            <w:tcW w:w="2976" w:type="dxa"/>
            <w:vAlign w:val="center"/>
          </w:tcPr>
          <w:p w:rsidR="00C2590D" w:rsidRPr="00A52EF3" w:rsidRDefault="001D6C5B" w:rsidP="00C2590D">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w:t>
            </w:r>
            <w:r w:rsidR="00C2590D" w:rsidRPr="00A52EF3">
              <w:rPr>
                <w:rFonts w:ascii="Times New Roman" w:eastAsia="Times New Roman" w:hAnsi="Times New Roman" w:cs="Times New Roman"/>
                <w:b/>
                <w:bCs/>
                <w:sz w:val="24"/>
                <w:szCs w:val="24"/>
                <w:lang w:eastAsia="pl-PL"/>
              </w:rPr>
              <w:t>/rok]</w:t>
            </w:r>
          </w:p>
        </w:tc>
        <w:tc>
          <w:tcPr>
            <w:tcW w:w="2867" w:type="dxa"/>
            <w:vAlign w:val="center"/>
          </w:tcPr>
          <w:p w:rsidR="00C2590D" w:rsidRPr="00A52EF3" w:rsidRDefault="00C2590D" w:rsidP="00C2590D">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C2590D" w:rsidRPr="00A52EF3" w:rsidTr="00C2590D">
        <w:tc>
          <w:tcPr>
            <w:tcW w:w="3369"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Budynki, wyposażenie/urządzenia usługowe (niekomunlane)</w:t>
            </w:r>
          </w:p>
        </w:tc>
        <w:tc>
          <w:tcPr>
            <w:tcW w:w="2976"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26 694,73</w:t>
            </w:r>
          </w:p>
        </w:tc>
        <w:tc>
          <w:tcPr>
            <w:tcW w:w="2867"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9221,29</w:t>
            </w:r>
          </w:p>
        </w:tc>
      </w:tr>
      <w:tr w:rsidR="00C2590D" w:rsidRPr="00A52EF3" w:rsidTr="00C2590D">
        <w:tc>
          <w:tcPr>
            <w:tcW w:w="3369"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Obiekty sakralne</w:t>
            </w:r>
          </w:p>
        </w:tc>
        <w:tc>
          <w:tcPr>
            <w:tcW w:w="2976"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120,58</w:t>
            </w:r>
          </w:p>
        </w:tc>
        <w:tc>
          <w:tcPr>
            <w:tcW w:w="2867"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39,68</w:t>
            </w:r>
          </w:p>
        </w:tc>
      </w:tr>
      <w:tr w:rsidR="00C2590D" w:rsidRPr="00A52EF3" w:rsidTr="00C2590D">
        <w:tc>
          <w:tcPr>
            <w:tcW w:w="3369" w:type="dxa"/>
            <w:vAlign w:val="center"/>
          </w:tcPr>
          <w:p w:rsidR="00C2590D" w:rsidRPr="00A52EF3" w:rsidRDefault="00C2590D" w:rsidP="00C2590D">
            <w:pPr>
              <w:spacing w:line="360" w:lineRule="auto"/>
              <w:jc w:val="center"/>
              <w:rPr>
                <w:rFonts w:ascii="Times New Roman" w:hAnsi="Times New Roman" w:cs="Times New Roman"/>
                <w:sz w:val="24"/>
              </w:rPr>
            </w:pPr>
            <w:r w:rsidRPr="00A52EF3">
              <w:rPr>
                <w:rFonts w:ascii="Times New Roman" w:hAnsi="Times New Roman" w:cs="Times New Roman"/>
                <w:sz w:val="24"/>
              </w:rPr>
              <w:t>SUMA</w:t>
            </w:r>
          </w:p>
        </w:tc>
        <w:tc>
          <w:tcPr>
            <w:tcW w:w="2976" w:type="dxa"/>
            <w:vAlign w:val="center"/>
          </w:tcPr>
          <w:p w:rsidR="00C2590D" w:rsidRPr="00A52EF3" w:rsidRDefault="001D6C5B" w:rsidP="00C2590D">
            <w:pPr>
              <w:spacing w:line="360" w:lineRule="auto"/>
              <w:jc w:val="center"/>
              <w:rPr>
                <w:rFonts w:ascii="Times New Roman" w:hAnsi="Times New Roman" w:cs="Times New Roman"/>
                <w:sz w:val="24"/>
              </w:rPr>
            </w:pPr>
            <w:r w:rsidRPr="00A52EF3">
              <w:rPr>
                <w:rFonts w:ascii="Times New Roman" w:hAnsi="Times New Roman" w:cs="Times New Roman"/>
                <w:sz w:val="24"/>
              </w:rPr>
              <w:t>26 815,31</w:t>
            </w:r>
          </w:p>
        </w:tc>
        <w:tc>
          <w:tcPr>
            <w:tcW w:w="2867" w:type="dxa"/>
            <w:vAlign w:val="center"/>
          </w:tcPr>
          <w:p w:rsidR="00C2590D" w:rsidRPr="00A52EF3" w:rsidRDefault="001D6C5B" w:rsidP="00C2590D">
            <w:pPr>
              <w:spacing w:line="360" w:lineRule="auto"/>
              <w:jc w:val="center"/>
              <w:rPr>
                <w:rFonts w:ascii="Times New Roman" w:hAnsi="Times New Roman" w:cs="Times New Roman"/>
                <w:sz w:val="24"/>
              </w:rPr>
            </w:pPr>
            <w:r w:rsidRPr="00A52EF3">
              <w:rPr>
                <w:rFonts w:ascii="Times New Roman" w:hAnsi="Times New Roman" w:cs="Times New Roman"/>
                <w:sz w:val="24"/>
              </w:rPr>
              <w:t>9 260,97</w:t>
            </w:r>
          </w:p>
        </w:tc>
      </w:tr>
    </w:tbl>
    <w:p w:rsidR="00C2590D" w:rsidRPr="00A52EF3" w:rsidRDefault="00C2590D" w:rsidP="00F25FCA">
      <w:pPr>
        <w:spacing w:line="360" w:lineRule="auto"/>
        <w:jc w:val="both"/>
        <w:rPr>
          <w:rFonts w:ascii="Times New Roman" w:hAnsi="Times New Roman" w:cs="Times New Roman"/>
          <w:sz w:val="24"/>
        </w:rPr>
      </w:pPr>
    </w:p>
    <w:tbl>
      <w:tblPr>
        <w:tblStyle w:val="Tabela-Siatka"/>
        <w:tblW w:w="0" w:type="auto"/>
        <w:tblLook w:val="04A0" w:firstRow="1" w:lastRow="0" w:firstColumn="1" w:lastColumn="0" w:noHBand="0" w:noVBand="1"/>
      </w:tblPr>
      <w:tblGrid>
        <w:gridCol w:w="3369"/>
        <w:gridCol w:w="2976"/>
        <w:gridCol w:w="2867"/>
      </w:tblGrid>
      <w:tr w:rsidR="00C2590D" w:rsidRPr="00A52EF3" w:rsidTr="00F61B30">
        <w:tc>
          <w:tcPr>
            <w:tcW w:w="3369" w:type="dxa"/>
            <w:vMerge w:val="restart"/>
            <w:vAlign w:val="center"/>
          </w:tcPr>
          <w:p w:rsidR="00C2590D" w:rsidRPr="00A52EF3" w:rsidRDefault="00C2590D" w:rsidP="00C2590D">
            <w:pPr>
              <w:spacing w:line="360" w:lineRule="auto"/>
              <w:jc w:val="center"/>
              <w:rPr>
                <w:rFonts w:ascii="Times New Roman" w:hAnsi="Times New Roman" w:cs="Times New Roman"/>
                <w:b/>
                <w:sz w:val="24"/>
              </w:rPr>
            </w:pPr>
            <w:bookmarkStart w:id="74" w:name="_Toc442426533"/>
            <w:bookmarkStart w:id="75" w:name="_Toc449097751"/>
            <w:r w:rsidRPr="00A52EF3">
              <w:rPr>
                <w:rFonts w:ascii="Times New Roman" w:hAnsi="Times New Roman" w:cs="Times New Roman"/>
                <w:b/>
                <w:sz w:val="24"/>
              </w:rPr>
              <w:t>Sektor mieszkalny</w:t>
            </w:r>
          </w:p>
        </w:tc>
        <w:tc>
          <w:tcPr>
            <w:tcW w:w="2976" w:type="dxa"/>
            <w:vAlign w:val="center"/>
          </w:tcPr>
          <w:p w:rsidR="00C2590D" w:rsidRPr="00A52EF3" w:rsidRDefault="00C2590D"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2867" w:type="dxa"/>
            <w:vAlign w:val="center"/>
          </w:tcPr>
          <w:p w:rsidR="00C2590D" w:rsidRPr="00A52EF3" w:rsidRDefault="00C2590D"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C2590D" w:rsidRPr="00A52EF3" w:rsidTr="00F61B30">
        <w:tc>
          <w:tcPr>
            <w:tcW w:w="3369" w:type="dxa"/>
            <w:vMerge/>
            <w:vAlign w:val="center"/>
          </w:tcPr>
          <w:p w:rsidR="00C2590D" w:rsidRPr="00A52EF3" w:rsidRDefault="00C2590D" w:rsidP="00F61B30">
            <w:pPr>
              <w:spacing w:line="360" w:lineRule="auto"/>
              <w:jc w:val="center"/>
              <w:rPr>
                <w:rFonts w:ascii="Times New Roman" w:hAnsi="Times New Roman" w:cs="Times New Roman"/>
                <w:sz w:val="24"/>
              </w:rPr>
            </w:pPr>
          </w:p>
        </w:tc>
        <w:tc>
          <w:tcPr>
            <w:tcW w:w="2976" w:type="dxa"/>
            <w:vAlign w:val="center"/>
          </w:tcPr>
          <w:p w:rsidR="00C2590D"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w:t>
            </w:r>
            <w:r w:rsidR="00C2590D" w:rsidRPr="00A52EF3">
              <w:rPr>
                <w:rFonts w:ascii="Times New Roman" w:eastAsia="Times New Roman" w:hAnsi="Times New Roman" w:cs="Times New Roman"/>
                <w:b/>
                <w:bCs/>
                <w:sz w:val="24"/>
                <w:szCs w:val="24"/>
                <w:lang w:eastAsia="pl-PL"/>
              </w:rPr>
              <w:t>/rok]</w:t>
            </w:r>
          </w:p>
        </w:tc>
        <w:tc>
          <w:tcPr>
            <w:tcW w:w="2867" w:type="dxa"/>
            <w:vAlign w:val="center"/>
          </w:tcPr>
          <w:p w:rsidR="00C2590D" w:rsidRPr="00A52EF3" w:rsidRDefault="00C2590D"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1D6C5B" w:rsidRPr="00A52EF3" w:rsidTr="00C2590D">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Budynki, wyposażenie/urządzenia komunalne</w:t>
            </w:r>
          </w:p>
        </w:tc>
        <w:tc>
          <w:tcPr>
            <w:tcW w:w="2976" w:type="dxa"/>
            <w:vAlign w:val="center"/>
          </w:tcPr>
          <w:p w:rsidR="001D6C5B" w:rsidRPr="00A52EF3" w:rsidRDefault="001D6C5B" w:rsidP="00C2590D">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4 859,60</w:t>
            </w:r>
          </w:p>
        </w:tc>
        <w:tc>
          <w:tcPr>
            <w:tcW w:w="2867" w:type="dxa"/>
            <w:vAlign w:val="center"/>
          </w:tcPr>
          <w:p w:rsidR="001D6C5B" w:rsidRPr="00A52EF3" w:rsidRDefault="001D6C5B">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3315,10</w:t>
            </w:r>
          </w:p>
        </w:tc>
      </w:tr>
      <w:tr w:rsidR="001D6C5B" w:rsidRPr="00A52EF3" w:rsidTr="00C2590D">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Budynki mieszkalne</w:t>
            </w:r>
          </w:p>
        </w:tc>
        <w:tc>
          <w:tcPr>
            <w:tcW w:w="2976" w:type="dxa"/>
            <w:vAlign w:val="center"/>
          </w:tcPr>
          <w:p w:rsidR="001D6C5B" w:rsidRPr="00A52EF3" w:rsidRDefault="001D6C5B" w:rsidP="00C2590D">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107 513,87</w:t>
            </w:r>
          </w:p>
        </w:tc>
        <w:tc>
          <w:tcPr>
            <w:tcW w:w="2867" w:type="dxa"/>
            <w:vAlign w:val="center"/>
          </w:tcPr>
          <w:p w:rsidR="001D6C5B" w:rsidRPr="00A52EF3" w:rsidRDefault="001D6C5B">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40282,78</w:t>
            </w:r>
          </w:p>
        </w:tc>
      </w:tr>
      <w:tr w:rsidR="001D6C5B" w:rsidRPr="00A52EF3" w:rsidTr="00C2590D">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SUMA</w:t>
            </w:r>
          </w:p>
        </w:tc>
        <w:tc>
          <w:tcPr>
            <w:tcW w:w="2976" w:type="dxa"/>
            <w:vAlign w:val="center"/>
          </w:tcPr>
          <w:p w:rsidR="001D6C5B" w:rsidRPr="00A52EF3" w:rsidRDefault="001D6C5B" w:rsidP="00C2590D">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112 373,47</w:t>
            </w:r>
          </w:p>
        </w:tc>
        <w:tc>
          <w:tcPr>
            <w:tcW w:w="2867" w:type="dxa"/>
            <w:vAlign w:val="center"/>
          </w:tcPr>
          <w:p w:rsidR="001D6C5B" w:rsidRPr="00A52EF3" w:rsidRDefault="001D6C5B">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43597,88</w:t>
            </w:r>
          </w:p>
        </w:tc>
      </w:tr>
    </w:tbl>
    <w:p w:rsidR="00905E52" w:rsidRPr="00A52EF3" w:rsidRDefault="00905E52" w:rsidP="00F25FCA">
      <w:pPr>
        <w:pStyle w:val="Nagwek2"/>
        <w:spacing w:after="120" w:line="360" w:lineRule="auto"/>
        <w:rPr>
          <w:rFonts w:ascii="Times New Roman" w:hAnsi="Times New Roman" w:cs="Times New Roman"/>
          <w:color w:val="auto"/>
        </w:rPr>
      </w:pPr>
    </w:p>
    <w:tbl>
      <w:tblPr>
        <w:tblStyle w:val="Tabela-Siatka"/>
        <w:tblW w:w="0" w:type="auto"/>
        <w:tblLook w:val="04A0" w:firstRow="1" w:lastRow="0" w:firstColumn="1" w:lastColumn="0" w:noHBand="0" w:noVBand="1"/>
      </w:tblPr>
      <w:tblGrid>
        <w:gridCol w:w="3369"/>
        <w:gridCol w:w="2976"/>
        <w:gridCol w:w="2867"/>
      </w:tblGrid>
      <w:tr w:rsidR="001D6C5B" w:rsidRPr="00A52EF3" w:rsidTr="00F61B30">
        <w:tc>
          <w:tcPr>
            <w:tcW w:w="3369" w:type="dxa"/>
            <w:vMerge w:val="restart"/>
            <w:vAlign w:val="center"/>
          </w:tcPr>
          <w:p w:rsidR="001D6C5B" w:rsidRPr="00A52EF3" w:rsidRDefault="001D6C5B" w:rsidP="001D6C5B">
            <w:pPr>
              <w:spacing w:line="360" w:lineRule="auto"/>
              <w:jc w:val="center"/>
              <w:rPr>
                <w:rFonts w:ascii="Times New Roman" w:hAnsi="Times New Roman" w:cs="Times New Roman"/>
                <w:b/>
                <w:sz w:val="24"/>
              </w:rPr>
            </w:pPr>
            <w:r w:rsidRPr="00A52EF3">
              <w:rPr>
                <w:rFonts w:ascii="Times New Roman" w:hAnsi="Times New Roman" w:cs="Times New Roman"/>
                <w:b/>
                <w:sz w:val="24"/>
              </w:rPr>
              <w:t>Sektor usługowo-przemysłowy</w:t>
            </w: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1D6C5B" w:rsidRPr="00A52EF3" w:rsidTr="00F61B30">
        <w:tc>
          <w:tcPr>
            <w:tcW w:w="3369" w:type="dxa"/>
            <w:vMerge/>
            <w:vAlign w:val="center"/>
          </w:tcPr>
          <w:p w:rsidR="001D6C5B" w:rsidRPr="00A52EF3" w:rsidRDefault="001D6C5B" w:rsidP="00F61B30">
            <w:pPr>
              <w:spacing w:line="360" w:lineRule="auto"/>
              <w:jc w:val="center"/>
              <w:rPr>
                <w:rFonts w:ascii="Times New Roman" w:hAnsi="Times New Roman" w:cs="Times New Roman"/>
                <w:sz w:val="24"/>
              </w:rPr>
            </w:pP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[MWh/rok]</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Przemysł ((z wyjątkiem zakładów objętych systemem handlu uprawnieniami do emisji UE – ETS)</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463,25</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213,59</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SUMA</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463,25</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213,59</w:t>
            </w:r>
          </w:p>
        </w:tc>
      </w:tr>
    </w:tbl>
    <w:p w:rsidR="001D6C5B" w:rsidRPr="00A52EF3" w:rsidRDefault="001D6C5B" w:rsidP="001D6C5B">
      <w:pPr>
        <w:rPr>
          <w:rFonts w:ascii="Times New Roman" w:hAnsi="Times New Roman" w:cs="Times New Roman"/>
        </w:rPr>
      </w:pPr>
    </w:p>
    <w:p w:rsidR="001D6C5B" w:rsidRPr="00A52EF3" w:rsidRDefault="001D6C5B" w:rsidP="001D6C5B">
      <w:pPr>
        <w:rPr>
          <w:rFonts w:ascii="Times New Roman" w:hAnsi="Times New Roman" w:cs="Times New Roman"/>
        </w:rPr>
      </w:pPr>
    </w:p>
    <w:p w:rsidR="001D6C5B" w:rsidRPr="00A52EF3" w:rsidRDefault="001D6C5B" w:rsidP="001D6C5B">
      <w:pPr>
        <w:rPr>
          <w:rFonts w:ascii="Times New Roman" w:hAnsi="Times New Roman" w:cs="Times New Roman"/>
        </w:rPr>
      </w:pPr>
    </w:p>
    <w:tbl>
      <w:tblPr>
        <w:tblStyle w:val="Tabela-Siatka"/>
        <w:tblW w:w="0" w:type="auto"/>
        <w:tblLook w:val="04A0" w:firstRow="1" w:lastRow="0" w:firstColumn="1" w:lastColumn="0" w:noHBand="0" w:noVBand="1"/>
      </w:tblPr>
      <w:tblGrid>
        <w:gridCol w:w="3369"/>
        <w:gridCol w:w="2976"/>
        <w:gridCol w:w="2867"/>
      </w:tblGrid>
      <w:tr w:rsidR="001D6C5B" w:rsidRPr="00A52EF3" w:rsidTr="00F61B30">
        <w:tc>
          <w:tcPr>
            <w:tcW w:w="3369" w:type="dxa"/>
            <w:vMerge w:val="restart"/>
            <w:vAlign w:val="center"/>
          </w:tcPr>
          <w:p w:rsidR="001D6C5B" w:rsidRPr="00A52EF3" w:rsidRDefault="001D6C5B" w:rsidP="00F61B30">
            <w:pPr>
              <w:spacing w:line="360" w:lineRule="auto"/>
              <w:jc w:val="center"/>
              <w:rPr>
                <w:rFonts w:ascii="Times New Roman" w:hAnsi="Times New Roman" w:cs="Times New Roman"/>
                <w:b/>
                <w:sz w:val="24"/>
              </w:rPr>
            </w:pPr>
            <w:r w:rsidRPr="00A52EF3">
              <w:rPr>
                <w:rFonts w:ascii="Times New Roman" w:hAnsi="Times New Roman" w:cs="Times New Roman"/>
                <w:b/>
                <w:sz w:val="24"/>
              </w:rPr>
              <w:t>Transport</w:t>
            </w: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1D6C5B" w:rsidRPr="00A52EF3" w:rsidTr="00F61B30">
        <w:tc>
          <w:tcPr>
            <w:tcW w:w="3369" w:type="dxa"/>
            <w:vMerge/>
            <w:vAlign w:val="center"/>
          </w:tcPr>
          <w:p w:rsidR="001D6C5B" w:rsidRPr="00A52EF3" w:rsidRDefault="001D6C5B" w:rsidP="00F61B30">
            <w:pPr>
              <w:spacing w:line="360" w:lineRule="auto"/>
              <w:jc w:val="center"/>
              <w:rPr>
                <w:rFonts w:ascii="Times New Roman" w:hAnsi="Times New Roman" w:cs="Times New Roman"/>
                <w:sz w:val="24"/>
              </w:rPr>
            </w:pP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[MWh/rok]</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Transport prywatny i komercyjny</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8 417,60</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2 062,38</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SUMA</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8 417,60</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2 062,38</w:t>
            </w:r>
          </w:p>
        </w:tc>
      </w:tr>
    </w:tbl>
    <w:p w:rsidR="001D6C5B" w:rsidRPr="00A52EF3" w:rsidRDefault="001D6C5B" w:rsidP="001D6C5B">
      <w:pPr>
        <w:rPr>
          <w:rFonts w:ascii="Times New Roman" w:hAnsi="Times New Roman" w:cs="Times New Roman"/>
        </w:rPr>
      </w:pPr>
    </w:p>
    <w:p w:rsidR="001D6C5B" w:rsidRPr="00A52EF3" w:rsidRDefault="001D6C5B" w:rsidP="001D6C5B">
      <w:pPr>
        <w:rPr>
          <w:rFonts w:ascii="Times New Roman" w:hAnsi="Times New Roman" w:cs="Times New Roman"/>
        </w:rPr>
      </w:pPr>
    </w:p>
    <w:tbl>
      <w:tblPr>
        <w:tblStyle w:val="Tabela-Siatka"/>
        <w:tblW w:w="0" w:type="auto"/>
        <w:tblLook w:val="04A0" w:firstRow="1" w:lastRow="0" w:firstColumn="1" w:lastColumn="0" w:noHBand="0" w:noVBand="1"/>
      </w:tblPr>
      <w:tblGrid>
        <w:gridCol w:w="3369"/>
        <w:gridCol w:w="2976"/>
        <w:gridCol w:w="2867"/>
      </w:tblGrid>
      <w:tr w:rsidR="001D6C5B" w:rsidRPr="00A52EF3" w:rsidTr="00F61B30">
        <w:tc>
          <w:tcPr>
            <w:tcW w:w="3369" w:type="dxa"/>
            <w:vMerge w:val="restart"/>
            <w:vAlign w:val="center"/>
          </w:tcPr>
          <w:p w:rsidR="001D6C5B" w:rsidRPr="00A52EF3" w:rsidRDefault="001D6C5B" w:rsidP="00F61B30">
            <w:pPr>
              <w:spacing w:line="360" w:lineRule="auto"/>
              <w:jc w:val="center"/>
              <w:rPr>
                <w:rFonts w:ascii="Times New Roman" w:hAnsi="Times New Roman" w:cs="Times New Roman"/>
                <w:b/>
                <w:sz w:val="24"/>
              </w:rPr>
            </w:pPr>
            <w:r w:rsidRPr="00A52EF3">
              <w:rPr>
                <w:rFonts w:ascii="Times New Roman" w:hAnsi="Times New Roman" w:cs="Times New Roman"/>
                <w:b/>
                <w:sz w:val="24"/>
              </w:rPr>
              <w:t>Oświetlenie uliczne</w:t>
            </w: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Zużycie energii</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Emisja CO</w:t>
            </w:r>
            <w:r w:rsidRPr="00A52EF3">
              <w:rPr>
                <w:rFonts w:ascii="Times New Roman" w:eastAsia="Times New Roman" w:hAnsi="Times New Roman" w:cs="Times New Roman"/>
                <w:b/>
                <w:bCs/>
                <w:sz w:val="24"/>
                <w:szCs w:val="24"/>
                <w:vertAlign w:val="subscript"/>
                <w:lang w:eastAsia="pl-PL"/>
              </w:rPr>
              <w:t>2</w:t>
            </w:r>
          </w:p>
        </w:tc>
      </w:tr>
      <w:tr w:rsidR="001D6C5B" w:rsidRPr="00A52EF3" w:rsidTr="00F61B30">
        <w:tc>
          <w:tcPr>
            <w:tcW w:w="3369" w:type="dxa"/>
            <w:vMerge/>
            <w:vAlign w:val="center"/>
          </w:tcPr>
          <w:p w:rsidR="001D6C5B" w:rsidRPr="00A52EF3" w:rsidRDefault="001D6C5B" w:rsidP="00F61B30">
            <w:pPr>
              <w:spacing w:line="360" w:lineRule="auto"/>
              <w:jc w:val="center"/>
              <w:rPr>
                <w:rFonts w:ascii="Times New Roman" w:hAnsi="Times New Roman" w:cs="Times New Roman"/>
                <w:sz w:val="24"/>
              </w:rPr>
            </w:pPr>
          </w:p>
        </w:tc>
        <w:tc>
          <w:tcPr>
            <w:tcW w:w="2976"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[MWh/rok]</w:t>
            </w:r>
          </w:p>
        </w:tc>
        <w:tc>
          <w:tcPr>
            <w:tcW w:w="2867" w:type="dxa"/>
            <w:vAlign w:val="center"/>
          </w:tcPr>
          <w:p w:rsidR="001D6C5B" w:rsidRPr="00A52EF3" w:rsidRDefault="001D6C5B" w:rsidP="00F61B30">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[Mg / rok]</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Komunalne oświetlenie publiczne</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1 504,04</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1250,60</w:t>
            </w:r>
          </w:p>
        </w:tc>
      </w:tr>
      <w:tr w:rsidR="001D6C5B" w:rsidRPr="00A52EF3" w:rsidTr="00F61B30">
        <w:tc>
          <w:tcPr>
            <w:tcW w:w="3369" w:type="dxa"/>
            <w:vAlign w:val="center"/>
          </w:tcPr>
          <w:p w:rsidR="001D6C5B" w:rsidRPr="00A52EF3" w:rsidRDefault="001D6C5B" w:rsidP="00F61B30">
            <w:pPr>
              <w:spacing w:line="360" w:lineRule="auto"/>
              <w:jc w:val="center"/>
              <w:rPr>
                <w:rFonts w:ascii="Times New Roman" w:hAnsi="Times New Roman" w:cs="Times New Roman"/>
                <w:sz w:val="24"/>
              </w:rPr>
            </w:pPr>
            <w:r w:rsidRPr="00A52EF3">
              <w:rPr>
                <w:rFonts w:ascii="Times New Roman" w:hAnsi="Times New Roman" w:cs="Times New Roman"/>
                <w:sz w:val="24"/>
              </w:rPr>
              <w:t>SUMA</w:t>
            </w:r>
          </w:p>
        </w:tc>
        <w:tc>
          <w:tcPr>
            <w:tcW w:w="2976"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1 504,04</w:t>
            </w:r>
          </w:p>
        </w:tc>
        <w:tc>
          <w:tcPr>
            <w:tcW w:w="2867" w:type="dxa"/>
            <w:vAlign w:val="center"/>
          </w:tcPr>
          <w:p w:rsidR="001D6C5B" w:rsidRPr="00A52EF3" w:rsidRDefault="001D6C5B" w:rsidP="00F61B30">
            <w:pPr>
              <w:jc w:val="center"/>
              <w:rPr>
                <w:rFonts w:ascii="Times New Roman" w:hAnsi="Times New Roman" w:cs="Times New Roman"/>
                <w:color w:val="000000"/>
                <w:sz w:val="24"/>
                <w:szCs w:val="20"/>
              </w:rPr>
            </w:pPr>
            <w:r w:rsidRPr="00A52EF3">
              <w:rPr>
                <w:rFonts w:ascii="Times New Roman" w:hAnsi="Times New Roman" w:cs="Times New Roman"/>
                <w:color w:val="000000"/>
                <w:sz w:val="24"/>
                <w:szCs w:val="20"/>
              </w:rPr>
              <w:t>1250,60</w:t>
            </w:r>
          </w:p>
        </w:tc>
      </w:tr>
    </w:tbl>
    <w:p w:rsidR="001D6C5B" w:rsidRPr="00A52EF3" w:rsidRDefault="001D6C5B" w:rsidP="001D6C5B">
      <w:pPr>
        <w:rPr>
          <w:rFonts w:ascii="Times New Roman" w:hAnsi="Times New Roman" w:cs="Times New Roman"/>
        </w:rPr>
      </w:pPr>
    </w:p>
    <w:p w:rsidR="001D6C5B" w:rsidRPr="00A52EF3" w:rsidRDefault="001D6C5B" w:rsidP="001D6C5B">
      <w:pPr>
        <w:rPr>
          <w:rFonts w:ascii="Times New Roman" w:hAnsi="Times New Roman" w:cs="Times New Roman"/>
        </w:rPr>
      </w:pPr>
    </w:p>
    <w:p w:rsidR="001D6C5B" w:rsidRPr="00A52EF3" w:rsidRDefault="001D6C5B" w:rsidP="001D6C5B">
      <w:pPr>
        <w:rPr>
          <w:rFonts w:ascii="Times New Roman" w:hAnsi="Times New Roman" w:cs="Times New Roman"/>
        </w:rPr>
      </w:pPr>
    </w:p>
    <w:p w:rsidR="00DD1F74" w:rsidRPr="00A52EF3" w:rsidRDefault="00DD1F74" w:rsidP="00545ED4">
      <w:pPr>
        <w:pStyle w:val="Nagwek2"/>
        <w:numPr>
          <w:ilvl w:val="1"/>
          <w:numId w:val="86"/>
        </w:numPr>
        <w:spacing w:after="120" w:line="360" w:lineRule="auto"/>
        <w:rPr>
          <w:rFonts w:ascii="Times New Roman" w:hAnsi="Times New Roman" w:cs="Times New Roman"/>
          <w:color w:val="auto"/>
        </w:rPr>
      </w:pPr>
      <w:bookmarkStart w:id="76" w:name="_Toc470764023"/>
      <w:r w:rsidRPr="00A52EF3">
        <w:rPr>
          <w:rFonts w:ascii="Times New Roman" w:hAnsi="Times New Roman" w:cs="Times New Roman"/>
          <w:color w:val="auto"/>
        </w:rPr>
        <w:t>Modernizacje budynków jednorodzinnych</w:t>
      </w:r>
      <w:bookmarkEnd w:id="74"/>
      <w:bookmarkEnd w:id="75"/>
      <w:bookmarkEnd w:id="76"/>
    </w:p>
    <w:p w:rsidR="00E84CD4" w:rsidRPr="00A52EF3" w:rsidRDefault="00E84CD4"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Istotnym elementem inwentaryzacji były informacje dotyczące termomodernizacji budynków. Dane te uwidaczniają, iż mieszkańcy gminy zainteresowani są zracjonalizowaniem zużycia energii i zmianami sposobu ogrzewania swoich domów </w:t>
      </w:r>
      <w:r w:rsidRPr="00A52EF3">
        <w:rPr>
          <w:rFonts w:ascii="Times New Roman" w:hAnsi="Times New Roman" w:cs="Times New Roman"/>
          <w:sz w:val="24"/>
        </w:rPr>
        <w:br/>
        <w:t>na instalacje bardziej wydajne i ekologiczne. Wyniki przedstawiają się następująco:</w:t>
      </w:r>
    </w:p>
    <w:p w:rsidR="00E84CD4" w:rsidRPr="00A52EF3" w:rsidRDefault="00291604" w:rsidP="00F25FCA">
      <w:pPr>
        <w:spacing w:line="360" w:lineRule="auto"/>
        <w:jc w:val="both"/>
        <w:rPr>
          <w:rFonts w:ascii="Times New Roman" w:hAnsi="Times New Roman" w:cs="Times New Roman"/>
          <w:sz w:val="24"/>
        </w:rPr>
      </w:pPr>
      <w:r w:rsidRPr="00A52EF3">
        <w:rPr>
          <w:rFonts w:ascii="Times New Roman" w:hAnsi="Times New Roman" w:cs="Times New Roman"/>
          <w:noProof/>
          <w:lang w:eastAsia="pl-PL"/>
        </w:rPr>
        <w:lastRenderedPageBreak/>
        <w:drawing>
          <wp:inline distT="0" distB="0" distL="0" distR="0" wp14:anchorId="3A0FFB0B" wp14:editId="121EA207">
            <wp:extent cx="5762847" cy="3817089"/>
            <wp:effectExtent l="0" t="0" r="9525" b="1206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0903" w:rsidRPr="00A52EF3" w:rsidRDefault="00D30903" w:rsidP="00F25FCA">
      <w:pPr>
        <w:spacing w:line="360" w:lineRule="auto"/>
        <w:jc w:val="both"/>
        <w:rPr>
          <w:rFonts w:ascii="Times New Roman" w:hAnsi="Times New Roman" w:cs="Times New Roman"/>
          <w:sz w:val="24"/>
        </w:rPr>
      </w:pPr>
      <w:r w:rsidRPr="00A52EF3">
        <w:rPr>
          <w:rFonts w:ascii="Times New Roman" w:hAnsi="Times New Roman" w:cs="Times New Roman"/>
          <w:noProof/>
          <w:lang w:eastAsia="pl-PL"/>
        </w:rPr>
        <w:drawing>
          <wp:inline distT="0" distB="0" distL="0" distR="0" wp14:anchorId="3C3A8F88" wp14:editId="2DA11598">
            <wp:extent cx="5762847" cy="3838353"/>
            <wp:effectExtent l="0" t="0" r="9525" b="1016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4CD4" w:rsidRPr="00A52EF3" w:rsidRDefault="00E84CD4" w:rsidP="00F25FCA">
      <w:pPr>
        <w:spacing w:line="360" w:lineRule="auto"/>
        <w:rPr>
          <w:rFonts w:ascii="Times New Roman" w:hAnsi="Times New Roman" w:cs="Times New Roman"/>
        </w:rPr>
      </w:pPr>
    </w:p>
    <w:p w:rsidR="00E84CD4" w:rsidRPr="00A52EF3" w:rsidRDefault="00E84CD4" w:rsidP="00F25FCA">
      <w:pPr>
        <w:spacing w:line="360" w:lineRule="auto"/>
        <w:jc w:val="center"/>
        <w:rPr>
          <w:rFonts w:ascii="Times New Roman" w:hAnsi="Times New Roman" w:cs="Times New Roman"/>
        </w:rPr>
      </w:pPr>
      <w:r w:rsidRPr="00A52EF3">
        <w:rPr>
          <w:rFonts w:ascii="Times New Roman" w:hAnsi="Times New Roman" w:cs="Times New Roman"/>
          <w:noProof/>
          <w:lang w:eastAsia="pl-PL"/>
        </w:rPr>
        <w:drawing>
          <wp:inline distT="0" distB="0" distL="0" distR="0" wp14:anchorId="17C6431C" wp14:editId="2C094950">
            <wp:extent cx="4867275" cy="360045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756A" w:rsidRPr="00A52EF3" w:rsidRDefault="00AE756A" w:rsidP="00F25FCA">
      <w:pPr>
        <w:spacing w:line="360" w:lineRule="auto"/>
        <w:ind w:firstLine="708"/>
        <w:jc w:val="both"/>
        <w:rPr>
          <w:rFonts w:ascii="Times New Roman" w:hAnsi="Times New Roman" w:cs="Times New Roman"/>
          <w:sz w:val="24"/>
        </w:rPr>
      </w:pPr>
    </w:p>
    <w:p w:rsidR="00270FA8" w:rsidRPr="00A52EF3" w:rsidRDefault="00E84CD4"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rPr>
        <w:t xml:space="preserve">Jak pokazuje powyższy wykres mieszkańcy Gminy </w:t>
      </w:r>
      <w:r w:rsidR="00CF0D9B" w:rsidRPr="00A52EF3">
        <w:rPr>
          <w:rFonts w:ascii="Times New Roman" w:hAnsi="Times New Roman" w:cs="Times New Roman"/>
          <w:sz w:val="24"/>
        </w:rPr>
        <w:t>Brody</w:t>
      </w:r>
      <w:r w:rsidRPr="00A52EF3">
        <w:rPr>
          <w:rFonts w:ascii="Times New Roman" w:hAnsi="Times New Roman" w:cs="Times New Roman"/>
          <w:sz w:val="24"/>
        </w:rPr>
        <w:t xml:space="preserve"> są zainteresowani wsparciem finansowym na działania modernizacyjne, takie jak zmiana sposobu ogrzewania, w celu zmniejszenia zanieczyszczenia powietrza w gminie. Aby umożliwić wykonanie termomodernizacji budynków oraz wzrost wykorzystania odnawialnych </w:t>
      </w:r>
      <w:r w:rsidRPr="00A52EF3">
        <w:rPr>
          <w:rFonts w:ascii="Times New Roman" w:hAnsi="Times New Roman" w:cs="Times New Roman"/>
          <w:sz w:val="24"/>
          <w:szCs w:val="24"/>
        </w:rPr>
        <w:t>źródeł energii istnieją liczne formy finansowania, zarówno ze źródeł unijnych jaki i krajowych, polegające na dotacjach lub pożyczkach na wspieranie efektywności ekologicznej, odnawialnych źródeł energii oraz wielu inwestycji ekologicznych.</w:t>
      </w:r>
    </w:p>
    <w:p w:rsidR="00C55DD4" w:rsidRPr="00A52EF3" w:rsidRDefault="00C55DD4" w:rsidP="00F25FCA">
      <w:pPr>
        <w:spacing w:line="360" w:lineRule="auto"/>
        <w:ind w:firstLine="708"/>
        <w:jc w:val="both"/>
        <w:rPr>
          <w:rFonts w:ascii="Times New Roman" w:hAnsi="Times New Roman" w:cs="Times New Roman"/>
          <w:sz w:val="24"/>
          <w:szCs w:val="24"/>
        </w:rPr>
      </w:pPr>
    </w:p>
    <w:p w:rsidR="00901B63" w:rsidRPr="00A52EF3" w:rsidRDefault="00901B63" w:rsidP="00F25FCA">
      <w:pPr>
        <w:spacing w:line="360" w:lineRule="auto"/>
        <w:ind w:firstLine="708"/>
        <w:jc w:val="both"/>
        <w:rPr>
          <w:rFonts w:ascii="Times New Roman" w:hAnsi="Times New Roman" w:cs="Times New Roman"/>
          <w:sz w:val="24"/>
          <w:szCs w:val="24"/>
        </w:rPr>
      </w:pPr>
    </w:p>
    <w:p w:rsidR="00901B63" w:rsidRPr="00A52EF3" w:rsidRDefault="00901B63" w:rsidP="00F25FCA">
      <w:pPr>
        <w:spacing w:line="360" w:lineRule="auto"/>
        <w:ind w:firstLine="708"/>
        <w:jc w:val="both"/>
        <w:rPr>
          <w:rFonts w:ascii="Times New Roman" w:hAnsi="Times New Roman" w:cs="Times New Roman"/>
          <w:sz w:val="24"/>
          <w:szCs w:val="24"/>
        </w:rPr>
      </w:pPr>
    </w:p>
    <w:p w:rsidR="00AE756A" w:rsidRPr="00A52EF3" w:rsidRDefault="00AE756A" w:rsidP="00DC4C8E">
      <w:pPr>
        <w:spacing w:line="360" w:lineRule="auto"/>
        <w:jc w:val="both"/>
        <w:rPr>
          <w:rFonts w:ascii="Times New Roman" w:hAnsi="Times New Roman" w:cs="Times New Roman"/>
          <w:sz w:val="24"/>
          <w:szCs w:val="24"/>
        </w:rPr>
      </w:pPr>
    </w:p>
    <w:p w:rsidR="00DD1F74" w:rsidRPr="00A52EF3" w:rsidRDefault="00DD1F74" w:rsidP="00545ED4">
      <w:pPr>
        <w:pStyle w:val="Nagwek1"/>
        <w:numPr>
          <w:ilvl w:val="0"/>
          <w:numId w:val="86"/>
        </w:numPr>
        <w:spacing w:line="360" w:lineRule="auto"/>
        <w:rPr>
          <w:rFonts w:ascii="Times New Roman" w:hAnsi="Times New Roman" w:cs="Times New Roman"/>
          <w:color w:val="auto"/>
        </w:rPr>
      </w:pPr>
      <w:bookmarkStart w:id="77" w:name="_Toc451417931"/>
      <w:bookmarkStart w:id="78" w:name="_Toc470764024"/>
      <w:r w:rsidRPr="00A52EF3">
        <w:rPr>
          <w:rFonts w:ascii="Times New Roman" w:hAnsi="Times New Roman" w:cs="Times New Roman"/>
          <w:color w:val="auto"/>
        </w:rPr>
        <w:lastRenderedPageBreak/>
        <w:t>Analiza ekonomiczna i harmonogram finansowania</w:t>
      </w:r>
      <w:bookmarkEnd w:id="77"/>
      <w:bookmarkEnd w:id="78"/>
    </w:p>
    <w:p w:rsidR="00901B63" w:rsidRPr="00A52EF3" w:rsidRDefault="00901B63" w:rsidP="00901B63">
      <w:pPr>
        <w:rPr>
          <w:rFonts w:ascii="Times New Roman" w:hAnsi="Times New Roman" w:cs="Times New Roman"/>
        </w:rPr>
      </w:pPr>
    </w:p>
    <w:p w:rsidR="00901B63" w:rsidRPr="00A52EF3" w:rsidRDefault="00901B63" w:rsidP="00A66D7E">
      <w:pPr>
        <w:spacing w:line="360" w:lineRule="auto"/>
        <w:jc w:val="both"/>
        <w:rPr>
          <w:rFonts w:ascii="Times New Roman" w:hAnsi="Times New Roman" w:cs="Times New Roman"/>
          <w:sz w:val="24"/>
          <w:szCs w:val="24"/>
        </w:rPr>
      </w:pPr>
      <w:r w:rsidRPr="00A52EF3">
        <w:rPr>
          <w:rFonts w:ascii="Times New Roman" w:hAnsi="Times New Roman" w:cs="Times New Roman"/>
        </w:rPr>
        <w:tab/>
      </w:r>
      <w:r w:rsidR="001E3908" w:rsidRPr="00A52EF3">
        <w:rPr>
          <w:rFonts w:ascii="Times New Roman" w:hAnsi="Times New Roman" w:cs="Times New Roman"/>
          <w:sz w:val="24"/>
          <w:szCs w:val="24"/>
        </w:rPr>
        <w:t xml:space="preserve">W tym punkcie zestawione zostały możliwości pozyskiwania zewnętrznych źródeł finansowania w tym Funduszy Unijnych i środków z budżetu Państwa. </w:t>
      </w:r>
      <w:r w:rsidR="00B07F8F" w:rsidRPr="00A52EF3">
        <w:rPr>
          <w:rFonts w:ascii="Times New Roman" w:hAnsi="Times New Roman" w:cs="Times New Roman"/>
          <w:sz w:val="24"/>
          <w:szCs w:val="24"/>
        </w:rPr>
        <w:t>Sporządzony został także ich szczegółowy opis, wraz z ich założeniami i celami, którym mają służyć.</w:t>
      </w:r>
      <w:r w:rsidR="006F22D0" w:rsidRPr="00A52EF3">
        <w:rPr>
          <w:rFonts w:ascii="Times New Roman" w:hAnsi="Times New Roman" w:cs="Times New Roman"/>
          <w:sz w:val="24"/>
          <w:szCs w:val="24"/>
        </w:rPr>
        <w:t xml:space="preserve">  Są to środki współfinansujące przedsięwzięcia, które wspierają poprawę jakości środowiska, toteż Gmina Brody winna zobowiązać się do pokrycia </w:t>
      </w:r>
      <w:r w:rsidR="0039316F" w:rsidRPr="00A52EF3">
        <w:rPr>
          <w:rFonts w:ascii="Times New Roman" w:hAnsi="Times New Roman" w:cs="Times New Roman"/>
          <w:sz w:val="24"/>
          <w:szCs w:val="24"/>
        </w:rPr>
        <w:t>wkładu własnego w przypadku działań zależnych od Gminy.</w:t>
      </w:r>
    </w:p>
    <w:p w:rsidR="00901B63" w:rsidRPr="00A52EF3" w:rsidRDefault="00901B63" w:rsidP="00901B63">
      <w:pPr>
        <w:rPr>
          <w:rFonts w:ascii="Times New Roman" w:hAnsi="Times New Roman" w:cs="Times New Roman"/>
        </w:rPr>
      </w:pPr>
    </w:p>
    <w:p w:rsidR="00DD1F74" w:rsidRPr="00A52EF3" w:rsidRDefault="00DD1F74" w:rsidP="00545ED4">
      <w:pPr>
        <w:pStyle w:val="Nagwek2"/>
        <w:numPr>
          <w:ilvl w:val="1"/>
          <w:numId w:val="86"/>
        </w:numPr>
        <w:spacing w:line="360" w:lineRule="auto"/>
        <w:rPr>
          <w:rFonts w:ascii="Times New Roman" w:hAnsi="Times New Roman" w:cs="Times New Roman"/>
          <w:color w:val="auto"/>
        </w:rPr>
      </w:pPr>
      <w:bookmarkStart w:id="79" w:name="_Toc442426535"/>
      <w:bookmarkStart w:id="80" w:name="_Toc448500624"/>
      <w:bookmarkStart w:id="81" w:name="_Toc451417932"/>
      <w:bookmarkStart w:id="82" w:name="_Toc470764025"/>
      <w:r w:rsidRPr="00A52EF3">
        <w:rPr>
          <w:rFonts w:ascii="Times New Roman" w:hAnsi="Times New Roman" w:cs="Times New Roman"/>
          <w:color w:val="auto"/>
        </w:rPr>
        <w:t>Źródła finansowania</w:t>
      </w:r>
      <w:bookmarkEnd w:id="79"/>
      <w:bookmarkEnd w:id="80"/>
      <w:bookmarkEnd w:id="81"/>
      <w:bookmarkEnd w:id="82"/>
    </w:p>
    <w:p w:rsidR="00DD1F74" w:rsidRPr="00A52EF3" w:rsidRDefault="00DD1F74" w:rsidP="00F25FCA">
      <w:pPr>
        <w:spacing w:line="360" w:lineRule="auto"/>
        <w:rPr>
          <w:rFonts w:ascii="Times New Roman" w:eastAsia="Calibri" w:hAnsi="Times New Roman" w:cs="Times New Roman"/>
        </w:rPr>
      </w:pPr>
    </w:p>
    <w:p w:rsidR="00DD1F74" w:rsidRPr="00A52EF3" w:rsidRDefault="00DD1F74" w:rsidP="00F25FCA">
      <w:pPr>
        <w:numPr>
          <w:ilvl w:val="0"/>
          <w:numId w:val="47"/>
        </w:numPr>
        <w:spacing w:line="360" w:lineRule="auto"/>
        <w:rPr>
          <w:rFonts w:ascii="Times New Roman" w:eastAsia="Calibri" w:hAnsi="Times New Roman" w:cs="Times New Roman"/>
          <w:b/>
          <w:bCs/>
        </w:rPr>
      </w:pPr>
      <w:r w:rsidRPr="00A52EF3">
        <w:rPr>
          <w:rFonts w:ascii="Times New Roman" w:eastAsia="Calibri" w:hAnsi="Times New Roman" w:cs="Times New Roman"/>
          <w:b/>
          <w:bCs/>
          <w:sz w:val="24"/>
          <w:szCs w:val="24"/>
        </w:rPr>
        <w:t>Narodowy Fundusz Ochrony Środowiska i Gospodarki Wodnej</w:t>
      </w:r>
    </w:p>
    <w:p w:rsidR="00DD1F74" w:rsidRPr="00A52EF3" w:rsidRDefault="00DD1F74" w:rsidP="00F25FCA">
      <w:pPr>
        <w:spacing w:line="360" w:lineRule="auto"/>
        <w:ind w:left="720"/>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Jednym z głównych źródeł polskiego systemu finansowania przedsięwzięć służących ochronie środowiska, wykorzystujący środki krajowe jak i zagraniczne jest Narodowy Fundusz Ochrony Środowiska i Gospodarki Wodnej. Na lata 2015 – 2020 przewidziane jest finansowanie działań w ramach programu ochrona atmosfery, który podzielony jest na cztery działania priorytetowe: poprawa jakości powietrza, poprawa efektywności energetycznej, wspieranie rozproszonych, odnawialnych źródeł energii oraz system zielonych inwestycji (GIS – Green InwestmentScheme). </w:t>
      </w:r>
    </w:p>
    <w:p w:rsidR="00DD1F74" w:rsidRPr="00A52EF3" w:rsidRDefault="00DD1F74" w:rsidP="00F25FCA">
      <w:pPr>
        <w:spacing w:line="360" w:lineRule="auto"/>
        <w:jc w:val="both"/>
        <w:rPr>
          <w:rFonts w:ascii="Times New Roman" w:eastAsia="Calibri" w:hAnsi="Times New Roman" w:cs="Times New Roman"/>
          <w:sz w:val="24"/>
          <w:szCs w:val="24"/>
        </w:rPr>
      </w:pP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POPRAWA JAKOŚCI POWIETRZA</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Celem programu jest zmniejszenie narażenia ludności na oddziaływanie zanieczyszczeń powietrza w strefach, w których występują znaczące przekroczenia dopuszczalnych i docelowych poziomów stężeń tych zanieczyszczeń, poprzez opracowanie programów ochrony powietrza oraz poprzez zmniejszenie emisji zanieczyszczeń,</w:t>
      </w:r>
      <w:r w:rsidRPr="00A52EF3">
        <w:rPr>
          <w:rFonts w:ascii="Times New Roman" w:eastAsia="Calibri" w:hAnsi="Times New Roman" w:cs="Times New Roman"/>
          <w:sz w:val="24"/>
          <w:szCs w:val="24"/>
        </w:rPr>
        <w:br/>
        <w:t xml:space="preserve">w szczególności pyłów PM2,5, PM10 oraz emisji CO2. </w:t>
      </w:r>
    </w:p>
    <w:p w:rsidR="00DD1F74" w:rsidRPr="00A52EF3" w:rsidRDefault="00DD1F74" w:rsidP="00F25FCA">
      <w:pPr>
        <w:spacing w:line="360" w:lineRule="auto"/>
        <w:jc w:val="both"/>
        <w:rPr>
          <w:rFonts w:ascii="Times New Roman" w:eastAsia="Calibri" w:hAnsi="Times New Roman" w:cs="Times New Roman"/>
          <w:b/>
          <w:bCs/>
          <w:sz w:val="24"/>
          <w:szCs w:val="24"/>
        </w:rPr>
      </w:pPr>
      <w:r w:rsidRPr="00A52EF3">
        <w:rPr>
          <w:rFonts w:ascii="Times New Roman" w:eastAsia="Calibri" w:hAnsi="Times New Roman" w:cs="Times New Roman"/>
          <w:b/>
          <w:bCs/>
          <w:sz w:val="24"/>
          <w:szCs w:val="24"/>
        </w:rPr>
        <w:lastRenderedPageBreak/>
        <w:t xml:space="preserve">Część 1) Współfinansowanie opracowania programów ochrony powietrza i planów działań krótkoterminowych </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Beneficjenci: </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Województwa </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Rodzaje przedsięwzięć:</w:t>
      </w:r>
    </w:p>
    <w:p w:rsidR="00DD1F74" w:rsidRPr="00A52EF3" w:rsidRDefault="00DD1F74" w:rsidP="00F25FCA">
      <w:pPr>
        <w:spacing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1) opracowanie programów ochrony powietrza;</w:t>
      </w:r>
    </w:p>
    <w:p w:rsidR="00DD1F74" w:rsidRPr="00A52EF3" w:rsidRDefault="00DD1F74" w:rsidP="00F25FCA">
      <w:pPr>
        <w:spacing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2) opracowanie planów działań krótkoterminowych.</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Program realizowany będzie w latach 2015 – 2018</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Formy dofinansowania: Dotacja</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Dofinansowanie w formie dotacji do 50 % kosztów kwalifikowanych </w:t>
      </w:r>
    </w:p>
    <w:p w:rsidR="00DD1F74" w:rsidRPr="00A52EF3" w:rsidRDefault="00DD1F74" w:rsidP="00F25FCA">
      <w:pPr>
        <w:spacing w:before="240" w:after="0" w:line="360" w:lineRule="auto"/>
        <w:ind w:firstLine="427"/>
        <w:jc w:val="both"/>
        <w:rPr>
          <w:rFonts w:ascii="Times New Roman" w:eastAsia="Calibri" w:hAnsi="Times New Roman" w:cs="Times New Roman"/>
          <w:b/>
          <w:bCs/>
          <w:sz w:val="24"/>
          <w:szCs w:val="24"/>
        </w:rPr>
      </w:pPr>
      <w:r w:rsidRPr="00A52EF3">
        <w:rPr>
          <w:rFonts w:ascii="Times New Roman" w:eastAsia="Calibri" w:hAnsi="Times New Roman" w:cs="Times New Roman"/>
          <w:b/>
          <w:bCs/>
          <w:sz w:val="24"/>
          <w:szCs w:val="24"/>
        </w:rPr>
        <w:t xml:space="preserve">Część 2) KAWKA – Likwidacja niskiej emisji wspierająca wzrost efektywności energetycznej i rozwój rozproszonych odnawialnych źródeł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Beneficjenci:</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1) Beneficjentem programu są wojewódzkie fundusze ochrony środowiska i gospodarki wodnej (WFOŚiGW).</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2) Beneficjentem końcowym są podmioty właściwe dla realizacji przedsięwzięć wskazanych w programach ochrony powietrza, które planują realizację albo realizują przedsięwzięcia mogące być przedmiotem dofinansowania przez wojewódzkie fundusze ochrony środowiska i gospodarki wodnej ze środków udostępnionych przez NFOŚiGW, </w:t>
      </w:r>
      <w:r w:rsidRPr="00A52EF3">
        <w:rPr>
          <w:rFonts w:ascii="Times New Roman" w:eastAsia="Calibri" w:hAnsi="Times New Roman" w:cs="Times New Roman"/>
          <w:sz w:val="24"/>
          <w:szCs w:val="24"/>
        </w:rPr>
        <w:br/>
        <w:t>z uwzględnieniem warunków niniejszego programu. Kategorie beneficjentów końcowych wskażą indywidualnie WFOŚiGW w ogłaszanych konkursach.</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3) Ostatecznym odbiorcą korzyści są podmioty właściwe dla realizacji przedsięwzięć wskazanych w programach o</w:t>
      </w:r>
      <w:r w:rsidR="00DC4C8E" w:rsidRPr="00A52EF3">
        <w:rPr>
          <w:rFonts w:ascii="Times New Roman" w:eastAsia="Calibri" w:hAnsi="Times New Roman" w:cs="Times New Roman"/>
          <w:sz w:val="24"/>
          <w:szCs w:val="24"/>
        </w:rPr>
        <w:t xml:space="preserve">chrony powietrza, korzystające </w:t>
      </w:r>
      <w:r w:rsidRPr="00A52EF3">
        <w:rPr>
          <w:rFonts w:ascii="Times New Roman" w:eastAsia="Calibri" w:hAnsi="Times New Roman" w:cs="Times New Roman"/>
          <w:sz w:val="24"/>
          <w:szCs w:val="24"/>
        </w:rPr>
        <w:t xml:space="preserve">z dofinansowania, wyłącznie za pośrednictwem beneficjenta końcowego </w:t>
      </w:r>
    </w:p>
    <w:p w:rsidR="00DC4C8E" w:rsidRPr="00A52EF3" w:rsidRDefault="00DC4C8E" w:rsidP="00F25FCA">
      <w:pPr>
        <w:tabs>
          <w:tab w:val="left" w:pos="427"/>
        </w:tabs>
        <w:spacing w:before="115" w:after="0" w:line="360" w:lineRule="auto"/>
        <w:jc w:val="both"/>
        <w:rPr>
          <w:rFonts w:ascii="Times New Roman" w:eastAsia="Calibri" w:hAnsi="Times New Roman" w:cs="Times New Roman"/>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lastRenderedPageBreak/>
        <w:t>Rodzaje przedsięwzięć:</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 xml:space="preserve">Dofinansowaniem mogą być objęte przedsięwzięcia ujęte w obowiązujących, </w:t>
      </w:r>
      <w:r w:rsidRPr="00A52EF3">
        <w:rPr>
          <w:rFonts w:ascii="Times New Roman" w:eastAsia="Calibri" w:hAnsi="Times New Roman" w:cs="Times New Roman"/>
          <w:sz w:val="24"/>
          <w:szCs w:val="24"/>
        </w:rPr>
        <w:br/>
        <w:t xml:space="preserve">na dzień ogłoszenia przez WFOŚiGW konkursu, programach ochrony powietrza, </w:t>
      </w:r>
      <w:r w:rsidRPr="00A52EF3">
        <w:rPr>
          <w:rFonts w:ascii="Times New Roman" w:eastAsia="Calibri" w:hAnsi="Times New Roman" w:cs="Times New Roman"/>
          <w:sz w:val="24"/>
          <w:szCs w:val="24"/>
        </w:rPr>
        <w:br/>
        <w:t xml:space="preserve">w szczególności: </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1) przedsięwzięcia mające na celu ograniczanie niskiej emisji związane </w:t>
      </w:r>
      <w:r w:rsidRPr="00A52EF3">
        <w:rPr>
          <w:rFonts w:ascii="Times New Roman" w:eastAsia="Calibri" w:hAnsi="Times New Roman" w:cs="Times New Roman"/>
          <w:sz w:val="24"/>
          <w:szCs w:val="24"/>
        </w:rPr>
        <w:br/>
        <w:t>z podnoszeniem efektywności energetycznej oraz wykorzystaniem układów wysokosprawnej kogeneracjii odnawialnych źródeł energii, w szczególności:</w:t>
      </w:r>
    </w:p>
    <w:p w:rsidR="00DD1F74" w:rsidRPr="00A52EF3" w:rsidRDefault="00DD1F74" w:rsidP="00F25FCA">
      <w:pPr>
        <w:tabs>
          <w:tab w:val="left" w:pos="427"/>
        </w:tabs>
        <w:spacing w:before="115" w:after="0" w:line="360" w:lineRule="auto"/>
        <w:ind w:left="454" w:firstLine="567"/>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 likwidacja lokalnych źródeł ciepła tj.: indywidualnych kotłowni lub palenisk węglowych, kotłowni zasilających kilka budynków oraz kotłowni osiedlowych</w:t>
      </w:r>
      <w:r w:rsidRPr="00A52EF3">
        <w:rPr>
          <w:rFonts w:ascii="Times New Roman" w:eastAsia="Calibri" w:hAnsi="Times New Roman" w:cs="Times New Roman"/>
          <w:sz w:val="24"/>
          <w:szCs w:val="24"/>
        </w:rPr>
        <w:br/>
        <w:t>i podłączenie obiektów do miejskiej sieci ciepłowniczej lub ich zastąpienie przez źródło o wyższej niż dotychczas sprawności wytwarzania ciepła (w tym pompy ciepła oraz paleniska i palniki) spełniające wymagania emisyjne określone przez właściwy organ.</w:t>
      </w:r>
    </w:p>
    <w:p w:rsidR="00DD1F74" w:rsidRPr="00A52EF3" w:rsidRDefault="00DD1F74" w:rsidP="00F25FCA">
      <w:pPr>
        <w:tabs>
          <w:tab w:val="left" w:pos="427"/>
        </w:tabs>
        <w:spacing w:before="115" w:after="0" w:line="360" w:lineRule="auto"/>
        <w:ind w:left="454"/>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 xml:space="preserve">W przypadku kotłów opalanych paliwami stałymi muszą one spełniać następujące warunki: </w:t>
      </w:r>
    </w:p>
    <w:p w:rsidR="00DD1F74" w:rsidRPr="00A52EF3" w:rsidRDefault="00DD1F74" w:rsidP="00F25FCA">
      <w:pPr>
        <w:numPr>
          <w:ilvl w:val="0"/>
          <w:numId w:val="48"/>
        </w:numPr>
        <w:tabs>
          <w:tab w:val="left" w:pos="427"/>
        </w:tabs>
        <w:spacing w:before="115" w:after="0" w:line="360" w:lineRule="auto"/>
        <w:ind w:hanging="397"/>
        <w:jc w:val="both"/>
        <w:rPr>
          <w:rFonts w:ascii="Times New Roman" w:eastAsia="Calibri" w:hAnsi="Times New Roman" w:cs="Times New Roman"/>
        </w:rPr>
      </w:pPr>
      <w:r w:rsidRPr="00A52EF3">
        <w:rPr>
          <w:rFonts w:ascii="Times New Roman" w:eastAsia="Calibri" w:hAnsi="Times New Roman" w:cs="Times New Roman"/>
          <w:sz w:val="24"/>
          <w:szCs w:val="24"/>
        </w:rPr>
        <w:t>posiadać certyfikat zgodności z normą PN-EN 303-5 „Kotły grzewcze. Część 5: Kotły grzewcze na paliwa stałe z ręcznym i automatycznym zasypem paliwa</w:t>
      </w:r>
      <w:r w:rsidRPr="00A52EF3">
        <w:rPr>
          <w:rFonts w:ascii="Times New Roman" w:eastAsia="Calibri" w:hAnsi="Times New Roman" w:cs="Times New Roman"/>
          <w:sz w:val="24"/>
          <w:szCs w:val="24"/>
        </w:rPr>
        <w:br/>
        <w:t>o mocy nominalnej do 500 Kw – Terminologia, wymagania, badania</w:t>
      </w:r>
      <w:r w:rsidRPr="00A52EF3">
        <w:rPr>
          <w:rFonts w:ascii="Times New Roman" w:eastAsia="Calibri" w:hAnsi="Times New Roman" w:cs="Times New Roman"/>
          <w:sz w:val="24"/>
          <w:szCs w:val="24"/>
        </w:rPr>
        <w:br/>
        <w:t xml:space="preserve">i oznakowanie” lub równoważną, wydany przez właściwą jednostkę certyfikującą. Data potwierdzenia zgodności z wymaganą normą nie może być wcześniejsza niż 5 lat licząc od daty złożenia wniosku o dofinansowanie; </w:t>
      </w:r>
    </w:p>
    <w:p w:rsidR="00DD1F74" w:rsidRPr="00A52EF3" w:rsidRDefault="00DD1F74" w:rsidP="00F25FCA">
      <w:pPr>
        <w:numPr>
          <w:ilvl w:val="0"/>
          <w:numId w:val="48"/>
        </w:numPr>
        <w:tabs>
          <w:tab w:val="left" w:pos="427"/>
        </w:tabs>
        <w:spacing w:before="115" w:after="0" w:line="360" w:lineRule="auto"/>
        <w:ind w:hanging="397"/>
        <w:jc w:val="both"/>
        <w:rPr>
          <w:rFonts w:ascii="Times New Roman" w:eastAsia="Calibri" w:hAnsi="Times New Roman" w:cs="Times New Roman"/>
        </w:rPr>
      </w:pPr>
      <w:r w:rsidRPr="00A52EF3">
        <w:rPr>
          <w:rFonts w:ascii="Times New Roman" w:eastAsia="Calibri" w:hAnsi="Times New Roman" w:cs="Times New Roman"/>
          <w:sz w:val="24"/>
          <w:szCs w:val="24"/>
        </w:rPr>
        <w:t>posiadać nominalną sprawność przemiany energetycznej co najmniej 85%</w:t>
      </w:r>
      <w:r w:rsidRPr="00A52EF3">
        <w:rPr>
          <w:rFonts w:ascii="Times New Roman" w:eastAsia="Calibri" w:hAnsi="Times New Roman" w:cs="Times New Roman"/>
          <w:sz w:val="24"/>
          <w:szCs w:val="24"/>
        </w:rPr>
        <w:br/>
        <w:t xml:space="preserve">i spełniać wymagania: </w:t>
      </w:r>
    </w:p>
    <w:p w:rsidR="00DD1F74" w:rsidRPr="00A52EF3" w:rsidRDefault="00DD1F74" w:rsidP="00F25FCA">
      <w:pPr>
        <w:tabs>
          <w:tab w:val="left" w:pos="427"/>
        </w:tabs>
        <w:spacing w:before="115" w:after="0" w:line="360" w:lineRule="auto"/>
        <w:ind w:left="1474" w:hanging="397"/>
        <w:jc w:val="both"/>
        <w:rPr>
          <w:rFonts w:ascii="Times New Roman" w:eastAsia="Calibri" w:hAnsi="Times New Roman" w:cs="Times New Roman"/>
        </w:rPr>
      </w:pPr>
      <w:r w:rsidRPr="00A52EF3">
        <w:rPr>
          <w:rFonts w:ascii="Times New Roman" w:eastAsia="Calibri" w:hAnsi="Times New Roman" w:cs="Times New Roman"/>
          <w:sz w:val="24"/>
          <w:szCs w:val="24"/>
        </w:rPr>
        <w:t xml:space="preserve">- klasy 4 lub 5 – dla źródeł opalanych paliwami stałymi oddanych do użytkowania przed 01/01/2016; </w:t>
      </w:r>
    </w:p>
    <w:p w:rsidR="00DD1F74" w:rsidRPr="00A52EF3" w:rsidRDefault="00DD1F74" w:rsidP="00F25FCA">
      <w:pPr>
        <w:tabs>
          <w:tab w:val="left" w:pos="427"/>
        </w:tabs>
        <w:spacing w:before="115" w:after="0" w:line="360" w:lineRule="auto"/>
        <w:ind w:left="1474" w:hanging="397"/>
        <w:jc w:val="both"/>
        <w:rPr>
          <w:rFonts w:ascii="Times New Roman" w:eastAsia="Calibri" w:hAnsi="Times New Roman" w:cs="Times New Roman"/>
        </w:rPr>
      </w:pPr>
      <w:r w:rsidRPr="00A52EF3">
        <w:rPr>
          <w:rFonts w:ascii="Times New Roman" w:eastAsia="Calibri" w:hAnsi="Times New Roman" w:cs="Times New Roman"/>
          <w:sz w:val="24"/>
          <w:szCs w:val="24"/>
        </w:rPr>
        <w:t xml:space="preserve">- klasy 5 – dla źródeł opalanych paliwami stałymi oddanych do użytkowania po 01/01/2016; </w:t>
      </w:r>
    </w:p>
    <w:p w:rsidR="00DD1F74" w:rsidRPr="00A52EF3" w:rsidRDefault="00DD1F74" w:rsidP="00F25FCA">
      <w:pPr>
        <w:numPr>
          <w:ilvl w:val="0"/>
          <w:numId w:val="48"/>
        </w:numPr>
        <w:tabs>
          <w:tab w:val="left" w:pos="427"/>
        </w:tabs>
        <w:spacing w:before="115" w:after="0" w:line="360" w:lineRule="auto"/>
        <w:ind w:hanging="397"/>
        <w:jc w:val="both"/>
        <w:rPr>
          <w:rFonts w:ascii="Times New Roman" w:eastAsia="Calibri" w:hAnsi="Times New Roman" w:cs="Times New Roman"/>
        </w:rPr>
      </w:pPr>
      <w:r w:rsidRPr="00A52EF3">
        <w:rPr>
          <w:rFonts w:ascii="Times New Roman" w:eastAsia="Calibri" w:hAnsi="Times New Roman" w:cs="Times New Roman"/>
          <w:sz w:val="24"/>
          <w:szCs w:val="24"/>
        </w:rPr>
        <w:lastRenderedPageBreak/>
        <w:t xml:space="preserve">powinny być wyposażone w automatyczny podajnik paliwa (nie dotyczy kotłów zgazowujących) i nie może posiadać rusztu awaryjnego ani elementów umożliwiających jego zamontowanie. </w:t>
      </w:r>
    </w:p>
    <w:p w:rsidR="00DD1F74" w:rsidRPr="00A52EF3" w:rsidRDefault="00DD1F74" w:rsidP="00F25FCA">
      <w:pPr>
        <w:tabs>
          <w:tab w:val="left" w:pos="427"/>
        </w:tabs>
        <w:spacing w:before="115" w:after="0" w:line="360" w:lineRule="auto"/>
        <w:ind w:left="720"/>
        <w:jc w:val="both"/>
        <w:rPr>
          <w:rFonts w:ascii="Times New Roman" w:eastAsia="Calibri" w:hAnsi="Times New Roman" w:cs="Times New Roman"/>
        </w:rPr>
      </w:pPr>
      <w:r w:rsidRPr="00A52EF3">
        <w:rPr>
          <w:rFonts w:ascii="Times New Roman" w:eastAsia="Calibri" w:hAnsi="Times New Roman" w:cs="Times New Roman"/>
          <w:sz w:val="24"/>
          <w:szCs w:val="24"/>
        </w:rPr>
        <w:t xml:space="preserve">Obowiązkowym elementem projektu obejmującego zastosowanie urządzeń grzewczych na paliwo stałe (węgiel kamienny lub biomasę) powinno być zapewnienie systemu kontroli eksploatacji tych urządzeń. Minimalny zakres kontroli powinien obejmować: </w:t>
      </w:r>
    </w:p>
    <w:p w:rsidR="00DD1F74" w:rsidRPr="00A52EF3" w:rsidRDefault="00DD1F74" w:rsidP="00F25FCA">
      <w:pPr>
        <w:numPr>
          <w:ilvl w:val="0"/>
          <w:numId w:val="49"/>
        </w:numPr>
        <w:tabs>
          <w:tab w:val="left" w:pos="427"/>
        </w:tabs>
        <w:spacing w:before="115" w:after="0" w:line="360" w:lineRule="auto"/>
        <w:ind w:hanging="340"/>
        <w:jc w:val="both"/>
        <w:rPr>
          <w:rFonts w:ascii="Times New Roman" w:eastAsia="Calibri" w:hAnsi="Times New Roman" w:cs="Times New Roman"/>
        </w:rPr>
      </w:pPr>
      <w:r w:rsidRPr="00A52EF3">
        <w:rPr>
          <w:rFonts w:ascii="Times New Roman" w:eastAsia="Calibri" w:hAnsi="Times New Roman" w:cs="Times New Roman"/>
          <w:sz w:val="24"/>
          <w:szCs w:val="24"/>
        </w:rPr>
        <w:t xml:space="preserve">trwałą likwidację starego kotła na paliwo stałe i użytkowanie urządzenia grzewczego objętego dofinansowaniem jako podstawowego źródła ciepła </w:t>
      </w:r>
      <w:r w:rsidRPr="00A52EF3">
        <w:rPr>
          <w:rFonts w:ascii="Times New Roman" w:eastAsia="Calibri" w:hAnsi="Times New Roman" w:cs="Times New Roman"/>
          <w:sz w:val="24"/>
          <w:szCs w:val="24"/>
        </w:rPr>
        <w:br/>
        <w:t xml:space="preserve">w budynku; </w:t>
      </w:r>
    </w:p>
    <w:p w:rsidR="00DD1F74" w:rsidRPr="00A52EF3" w:rsidRDefault="00DD1F74" w:rsidP="00F25FCA">
      <w:pPr>
        <w:numPr>
          <w:ilvl w:val="0"/>
          <w:numId w:val="49"/>
        </w:numPr>
        <w:tabs>
          <w:tab w:val="left" w:pos="427"/>
        </w:tabs>
        <w:spacing w:before="115" w:after="0" w:line="360" w:lineRule="auto"/>
        <w:ind w:hanging="340"/>
        <w:jc w:val="both"/>
        <w:rPr>
          <w:rFonts w:ascii="Times New Roman" w:eastAsia="Calibri" w:hAnsi="Times New Roman" w:cs="Times New Roman"/>
        </w:rPr>
      </w:pPr>
      <w:r w:rsidRPr="00A52EF3">
        <w:rPr>
          <w:rFonts w:ascii="Times New Roman" w:eastAsia="Calibri" w:hAnsi="Times New Roman" w:cs="Times New Roman"/>
          <w:sz w:val="24"/>
          <w:szCs w:val="24"/>
        </w:rPr>
        <w:t xml:space="preserve">weryfikację nieuprawnionych modyfikacji kotła umożliwiających spalanie odpadów (np. dorobiony dodatkowy ruszt); </w:t>
      </w:r>
    </w:p>
    <w:p w:rsidR="00DD1F74" w:rsidRPr="00A52EF3" w:rsidRDefault="00DD1F74" w:rsidP="00F25FCA">
      <w:pPr>
        <w:numPr>
          <w:ilvl w:val="0"/>
          <w:numId w:val="49"/>
        </w:numPr>
        <w:tabs>
          <w:tab w:val="left" w:pos="427"/>
        </w:tabs>
        <w:spacing w:before="115" w:after="0" w:line="360" w:lineRule="auto"/>
        <w:ind w:hanging="340"/>
        <w:jc w:val="both"/>
        <w:rPr>
          <w:rFonts w:ascii="Times New Roman" w:eastAsia="Calibri" w:hAnsi="Times New Roman" w:cs="Times New Roman"/>
        </w:rPr>
      </w:pPr>
      <w:r w:rsidRPr="00A52EF3">
        <w:rPr>
          <w:rFonts w:ascii="Times New Roman" w:eastAsia="Calibri" w:hAnsi="Times New Roman" w:cs="Times New Roman"/>
          <w:sz w:val="24"/>
          <w:szCs w:val="24"/>
        </w:rPr>
        <w:t xml:space="preserve">warunki składowania opału w celu jego ochrony przed zawilgoceniem; </w:t>
      </w:r>
    </w:p>
    <w:p w:rsidR="00DD1F74" w:rsidRPr="00A52EF3" w:rsidRDefault="00DD1F74" w:rsidP="00F25FCA">
      <w:pPr>
        <w:numPr>
          <w:ilvl w:val="0"/>
          <w:numId w:val="49"/>
        </w:numPr>
        <w:tabs>
          <w:tab w:val="left" w:pos="427"/>
        </w:tabs>
        <w:spacing w:before="115" w:after="0" w:line="360" w:lineRule="auto"/>
        <w:ind w:hanging="340"/>
        <w:jc w:val="both"/>
        <w:rPr>
          <w:rFonts w:ascii="Times New Roman" w:eastAsia="Calibri" w:hAnsi="Times New Roman" w:cs="Times New Roman"/>
        </w:rPr>
      </w:pPr>
      <w:r w:rsidRPr="00A52EF3">
        <w:rPr>
          <w:rFonts w:ascii="Times New Roman" w:eastAsia="Calibri" w:hAnsi="Times New Roman" w:cs="Times New Roman"/>
          <w:sz w:val="24"/>
          <w:szCs w:val="24"/>
        </w:rPr>
        <w:t xml:space="preserve">weryfikację faktur zakupu paliwa w zakresie zgodności z parametrami paliwa dopuszczonymi przez producenta kotła w dokumentacji techniczno-ruchowej urządzenia, w tym możliwość pobrania i zbadania parametrów próbki paliwa. </w:t>
      </w:r>
    </w:p>
    <w:p w:rsidR="00DD1F74" w:rsidRPr="00A52EF3" w:rsidRDefault="00DD1F74" w:rsidP="00F25FCA">
      <w:pPr>
        <w:tabs>
          <w:tab w:val="left" w:pos="427"/>
        </w:tabs>
        <w:spacing w:before="115" w:after="0" w:line="360" w:lineRule="auto"/>
        <w:ind w:left="737"/>
        <w:jc w:val="both"/>
        <w:rPr>
          <w:rFonts w:ascii="Times New Roman" w:eastAsia="Calibri" w:hAnsi="Times New Roman" w:cs="Times New Roman"/>
        </w:rPr>
      </w:pPr>
      <w:r w:rsidRPr="00A52EF3">
        <w:rPr>
          <w:rFonts w:ascii="Times New Roman" w:eastAsia="Calibri" w:hAnsi="Times New Roman" w:cs="Times New Roman"/>
          <w:sz w:val="24"/>
          <w:szCs w:val="24"/>
        </w:rPr>
        <w:t xml:space="preserve">W przypadku likwidacji palenisk indywidualnych zakres przedsięwzięcia może m.in. obejmować wykonanie wewnętrznej instalacji c.o. i c.w.u. lub instalacji gazowej; </w:t>
      </w:r>
    </w:p>
    <w:p w:rsidR="00DD1F74" w:rsidRPr="00A52EF3" w:rsidRDefault="00DD1F74" w:rsidP="00F25FCA">
      <w:pPr>
        <w:tabs>
          <w:tab w:val="left" w:pos="427"/>
        </w:tabs>
        <w:spacing w:before="115" w:after="0" w:line="360" w:lineRule="auto"/>
        <w:ind w:left="454" w:firstLine="567"/>
        <w:jc w:val="both"/>
        <w:rPr>
          <w:rFonts w:ascii="Times New Roman" w:eastAsia="Calibri" w:hAnsi="Times New Roman" w:cs="Times New Roman"/>
        </w:rPr>
      </w:pPr>
      <w:r w:rsidRPr="00A52EF3">
        <w:rPr>
          <w:rFonts w:ascii="Times New Roman" w:eastAsia="Calibri" w:hAnsi="Times New Roman" w:cs="Times New Roman"/>
          <w:sz w:val="24"/>
          <w:szCs w:val="24"/>
        </w:rPr>
        <w:t xml:space="preserve">b) rozbudowa sieci ciepłowniczej w celu podłączenia istniejących obiektów (ogrzewanych ze źródeł lokalnych przy wykorzystywaniu paliwa stałego) do centralnego źródła ciepła wraz z podłączeniem obiektów do sieci; </w:t>
      </w:r>
    </w:p>
    <w:p w:rsidR="00DD1F74" w:rsidRPr="00A52EF3" w:rsidRDefault="00DD1F74" w:rsidP="00F25FCA">
      <w:pPr>
        <w:tabs>
          <w:tab w:val="left" w:pos="427"/>
        </w:tabs>
        <w:spacing w:before="115" w:after="0" w:line="360" w:lineRule="auto"/>
        <w:ind w:left="454" w:firstLine="567"/>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c) zastosowanie kolektorów słonecznych celem obniżenia emisji w lokalnym źródle ciepła opalanym paliwem stałym bądź celem współpracy ze źródłem ciepła zastępującym źródło ciepła opalane paliwem stałym;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sz w:val="24"/>
          <w:szCs w:val="24"/>
        </w:rPr>
        <w:tab/>
        <w:t xml:space="preserve">2) zakup aparatury dla kontroli rodzaju stosowanych paliw i pomiaru emisji (dotyczy jeżeli beneficjentem końcowym jest jednostka samorządu terytorialnego lub instytucja przez nią wskazana); </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rPr>
      </w:pPr>
      <w:r w:rsidRPr="00A52EF3">
        <w:rPr>
          <w:rFonts w:ascii="Times New Roman" w:eastAsia="Calibri" w:hAnsi="Times New Roman" w:cs="Times New Roman"/>
          <w:sz w:val="24"/>
          <w:szCs w:val="24"/>
        </w:rPr>
        <w:lastRenderedPageBreak/>
        <w:t xml:space="preserve">3) kampanie edukacyjne (dotyczy beneficjentów końcowych z wyłączeniem osób fizycznych) pokazujące korzyści zdrowotne i społeczne z eliminacji niskiej emisji, oraz/lub informujące o horyzoncie czasowym prowadzenia zakazu stosowania paliw stałych lub innych działań systemowych gwarantujących utrzymanie poziomu stężeń zanieczyszczeń </w:t>
      </w:r>
      <w:r w:rsidRPr="00A52EF3">
        <w:rPr>
          <w:rFonts w:ascii="Times New Roman" w:eastAsia="Calibri" w:hAnsi="Times New Roman" w:cs="Times New Roman"/>
          <w:sz w:val="24"/>
          <w:szCs w:val="24"/>
        </w:rPr>
        <w:br/>
        <w:t xml:space="preserve">po wykonaniu działań naprawczych; </w:t>
      </w:r>
    </w:p>
    <w:p w:rsidR="00DD1F74" w:rsidRPr="00A52EF3" w:rsidRDefault="00DD1F74" w:rsidP="00F25FCA">
      <w:pPr>
        <w:tabs>
          <w:tab w:val="left" w:pos="427"/>
        </w:tabs>
        <w:spacing w:before="115" w:after="0" w:line="360" w:lineRule="auto"/>
        <w:ind w:firstLine="454"/>
        <w:jc w:val="both"/>
        <w:rPr>
          <w:rFonts w:ascii="Times New Roman" w:eastAsia="Calibri" w:hAnsi="Times New Roman" w:cs="Times New Roman"/>
        </w:rPr>
      </w:pPr>
      <w:r w:rsidRPr="00A52EF3">
        <w:rPr>
          <w:rFonts w:ascii="Times New Roman" w:eastAsia="Calibri" w:hAnsi="Times New Roman" w:cs="Times New Roman"/>
          <w:sz w:val="24"/>
          <w:szCs w:val="24"/>
        </w:rPr>
        <w:t xml:space="preserve">4) utworzenie baz danych (dotyczy jeżeli beneficjentem końcowym jest jednostka samorządu terytorialnego lub instytucja przez nią wskazana) pozwalających </w:t>
      </w:r>
      <w:r w:rsidRPr="00A52EF3">
        <w:rPr>
          <w:rFonts w:ascii="Times New Roman" w:eastAsia="Calibri" w:hAnsi="Times New Roman" w:cs="Times New Roman"/>
          <w:sz w:val="24"/>
          <w:szCs w:val="24"/>
        </w:rPr>
        <w:br/>
        <w:t xml:space="preserve">na inwentaryzację źródeł emisji. </w:t>
      </w:r>
    </w:p>
    <w:p w:rsidR="00DD1F74" w:rsidRPr="00A52EF3" w:rsidRDefault="00DD1F74" w:rsidP="00F25FCA">
      <w:pPr>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Program realizowany będzie w latach 2015 – 2018 </w:t>
      </w:r>
    </w:p>
    <w:p w:rsidR="00DD1F74" w:rsidRPr="00A52EF3" w:rsidRDefault="00DD1F74" w:rsidP="00F25FCA">
      <w:pPr>
        <w:tabs>
          <w:tab w:val="left" w:pos="427"/>
        </w:tabs>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Okres kwalifikowalności kosztów od 01.01.2015 r. do 31.12.2018 r </w:t>
      </w:r>
    </w:p>
    <w:p w:rsidR="00DD1F74" w:rsidRPr="00A52EF3" w:rsidRDefault="00DD1F74" w:rsidP="00F25FCA">
      <w:pPr>
        <w:tabs>
          <w:tab w:val="left" w:pos="427"/>
        </w:tabs>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Formy dofinansowania: Udostępnienie środków finansowych WFOŚiGW</w:t>
      </w:r>
      <w:r w:rsidRPr="00A52EF3">
        <w:rPr>
          <w:rFonts w:ascii="Times New Roman" w:eastAsia="Calibri" w:hAnsi="Times New Roman" w:cs="Times New Roman"/>
          <w:sz w:val="24"/>
          <w:szCs w:val="24"/>
        </w:rPr>
        <w:br/>
        <w:t xml:space="preserve">z przeznaczeniem na udzielanie dotacji. </w:t>
      </w:r>
    </w:p>
    <w:p w:rsidR="00DD1F74" w:rsidRPr="00A52EF3" w:rsidRDefault="00DD1F74" w:rsidP="00F25FCA">
      <w:pPr>
        <w:tabs>
          <w:tab w:val="left" w:pos="427"/>
        </w:tabs>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Udostępnienie środków jest nieodpłatne i bezzwrotne.</w:t>
      </w:r>
    </w:p>
    <w:p w:rsidR="00DD1F74" w:rsidRPr="00A52EF3" w:rsidRDefault="00DD1F74" w:rsidP="00F25FCA">
      <w:pPr>
        <w:tabs>
          <w:tab w:val="left" w:pos="427"/>
        </w:tabs>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Kwota dofinansowania przedsięwzięcia wynosi do 90 % jego kosztów kwalifikowanych, </w:t>
      </w:r>
      <w:r w:rsidRPr="00A52EF3">
        <w:rPr>
          <w:rFonts w:ascii="Times New Roman" w:eastAsia="Calibri" w:hAnsi="Times New Roman" w:cs="Times New Roman"/>
          <w:sz w:val="24"/>
          <w:szCs w:val="24"/>
        </w:rPr>
        <w:br/>
        <w:t xml:space="preserve">w tym do 45% kosztów kwalifikowanych przedsięwzięcia ze środków udostępnionych przez NFOŚiGW, w formie dotacji, zaangażowanie środków WFOŚiGW w realizację niniejszego programu priorytetowego stanowi uzupełnienie do 90 % kosztów kwalifikowanych przedsięwzięcia w dowolnej formie </w:t>
      </w:r>
    </w:p>
    <w:p w:rsidR="00C55DD4" w:rsidRPr="00A52EF3" w:rsidRDefault="00C55DD4" w:rsidP="00F25FCA">
      <w:pPr>
        <w:tabs>
          <w:tab w:val="left" w:pos="427"/>
        </w:tabs>
        <w:spacing w:before="115" w:after="0" w:line="360" w:lineRule="auto"/>
        <w:jc w:val="both"/>
        <w:rPr>
          <w:rFonts w:ascii="Times New Roman" w:eastAsia="Calibri" w:hAnsi="Times New Roman" w:cs="Times New Roman"/>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POPRAWA EFEKTYWNOŚCI ENERGETYCZNEJ</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t xml:space="preserve">Część 1) LEMUR – Energooszczędne Budynki Użyteczności Publicznej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podmioty sektora finansów publicznych, z wyłączeniem państwowych jednostek budżetowych,</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lastRenderedPageBreak/>
        <w:t>2) samorządowe osoby prawne, spółki prawa handlowego, w których jednostki samorządu terytorialnego posiadają 100% udziałów lub akcji i które powołane są do realizacji zadań własnych j.s.t. wskazanych w ustawach,</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3) 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4) jednostki organizacyjne PGL Lasy Państwowe posiadające osobowość prawną,</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5) parki narodowe.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Inwestycje polegające na projektowaniu i budowie lub tylko budowie nowych budynków użyteczności publicznej i zamieszkania zbiorowego.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Program realizowany będzie w latach 2015 – 2020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Okres kwalifikowalności kosztów od 01.01.2014 r. do 31.12.2020 r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Formy dofinansowania: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dotacja,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pożyczka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Dofinansowanie w formie dotacji wynosi do 20%, 40% albo 60% kosztów wykonania i weryfikacji dokumentacji projektowej, w zależności od klasy energooszczędności projektowanego budynku. W przypadku osiągnięcia różnych klas energooszczędności dotyczącej zmniejszenia zapotrzebowania na energię użytkową (Eu) i zmniejszenia zapotrzebowania na energię pierwotną (Ep) przyjmuje się, iż budynek osiągnął klasę energooszczędności jako klasę niższego osiągniętego parametru. </w:t>
      </w:r>
    </w:p>
    <w:p w:rsidR="00DC4C8E" w:rsidRPr="00A52EF3" w:rsidRDefault="00DC4C8E" w:rsidP="00F25FCA">
      <w:pPr>
        <w:tabs>
          <w:tab w:val="left" w:pos="427"/>
        </w:tabs>
        <w:spacing w:before="115" w:after="0" w:line="360" w:lineRule="auto"/>
        <w:jc w:val="both"/>
        <w:rPr>
          <w:rFonts w:ascii="Times New Roman" w:eastAsia="Calibri" w:hAnsi="Times New Roman" w:cs="Times New Roman"/>
          <w:b/>
          <w:bCs/>
          <w:i/>
          <w:iCs/>
          <w:sz w:val="24"/>
          <w:szCs w:val="24"/>
        </w:rPr>
      </w:pPr>
    </w:p>
    <w:p w:rsidR="00DC4C8E" w:rsidRPr="00A52EF3" w:rsidRDefault="00DC4C8E" w:rsidP="00F25FCA">
      <w:pPr>
        <w:tabs>
          <w:tab w:val="left" w:pos="427"/>
        </w:tabs>
        <w:spacing w:before="115" w:after="0" w:line="360" w:lineRule="auto"/>
        <w:jc w:val="both"/>
        <w:rPr>
          <w:rFonts w:ascii="Times New Roman" w:eastAsia="Calibri" w:hAnsi="Times New Roman" w:cs="Times New Roman"/>
          <w:b/>
          <w:bCs/>
          <w:i/>
          <w:iCs/>
          <w:sz w:val="24"/>
          <w:szCs w:val="24"/>
        </w:rPr>
      </w:pPr>
    </w:p>
    <w:p w:rsidR="00DC4C8E" w:rsidRPr="00A52EF3" w:rsidRDefault="00DC4C8E" w:rsidP="00F25FCA">
      <w:pPr>
        <w:tabs>
          <w:tab w:val="left" w:pos="427"/>
        </w:tabs>
        <w:spacing w:before="115" w:after="0" w:line="360" w:lineRule="auto"/>
        <w:jc w:val="both"/>
        <w:rPr>
          <w:rFonts w:ascii="Times New Roman" w:eastAsia="Calibri" w:hAnsi="Times New Roman" w:cs="Times New Roman"/>
          <w:b/>
          <w:bCs/>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lastRenderedPageBreak/>
        <w:t xml:space="preserve">Część 2) Dopłaty do kredytów na budowę domów energooszczędnych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numPr>
          <w:ilvl w:val="0"/>
          <w:numId w:val="46"/>
        </w:numPr>
        <w:tabs>
          <w:tab w:val="left" w:pos="427"/>
        </w:tabs>
        <w:spacing w:before="115" w:after="0"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osoby fizyczne dysponujące prawomocnym pozwoleniem na budowę oraz posiadające prawo do dysponowania nieruchomością, na której będą budowały budynek mieszkalny.</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Przez „dysponowanie” nieruchomością należy rozumieć: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prawo własności (w tym współwłasność);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użytkowanie wieczyste;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Przez dewelopera rozumie się także spółdzielnię mieszkaniową.</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Uprawnienie beneficjenta do przeniesienia przez dewelopera na swoją rzecz praw, o których mowa powyżej musi wynikać z:</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umowy deweloperskiej, zawartej w formie aktu notarialnego, zawierającej zobowiązanie dewelopera do: ustanowienia odrębnej własności lokalu mieszkalnego i przekazania jego  własności na rzecz beneficjenta albo do przeniesienia na beneficjenta własności nieruchomości zabudowanej domem jednorodzinnym albo użytkowania wieczystego nieruchomości gruntowej i własności domu jednorodzinnego na niej posadowionego stanowiącego odrębną nieruchomość;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umowy przedwstępnej, zawartej w formie aktu notarialnego, sprzedaży i ustanowienia odrębnej własności lokalu mieszkalnego albo umowy przedwstępnej, zawartej w formie aktu notarialnego, sprzedaży i przeniesienia na rzecz beneficjenta własności nieruchomości zabudowanej domem jednorodzinnym albo użytkowania wieczystego nieruchomości gruntowej i własności domu jednorodzinnego na niej posadowionego stanowiącego odrębną nieruchomość;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lastRenderedPageBreak/>
        <w:t xml:space="preserve">c) umowy, o której mowa w </w:t>
      </w:r>
      <w:r w:rsidRPr="00A52EF3">
        <w:rPr>
          <w:rFonts w:ascii="Times New Roman" w:eastAsia="Calibri" w:hAnsi="Times New Roman" w:cs="Times New Roman"/>
          <w:i/>
          <w:iCs/>
          <w:sz w:val="24"/>
          <w:szCs w:val="24"/>
        </w:rPr>
        <w:pgNum/>
      </w:r>
      <w:r w:rsidRPr="00A52EF3">
        <w:rPr>
          <w:rFonts w:ascii="Times New Roman" w:eastAsia="Calibri" w:hAnsi="Times New Roman" w:cs="Times New Roman"/>
          <w:i/>
          <w:iCs/>
          <w:sz w:val="24"/>
          <w:szCs w:val="24"/>
        </w:rPr>
        <w:t>sy. 9 ustawy prawo o własności lokali, zawartej w formie aktu notarialnego, zawierającej zobowiązanie dewelopera do ustanowienia odrębnej własności lokalu mieszkalnego i przeniesienia tego prawa na rzecz beneficjenta.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budowa domu jednorodzinnego;</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zakup nowego domu jednorodzinnego;</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3) zakup lokalu mieszkalnego w nowym budynku mieszkalnym wielorodzinnym.</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Przez dom jednorodzinny należy rozumieć budynek wolno stojący albo samodzielną część domu bliźniaczego albo szeregowego, przeznaczony i wykorzystywany na cele mieszkaniowe beneficjenta, co najmniej w połowie powierzchni całkowitej.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Program jest wdrażany w latach 2013 – 2022.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Formy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Dotacja na częściową spłatę kapitału kredytu bankowego realizowana za pośrednictwem banku na podstawie umowy o współpracy zawartej z NFOŚiGW.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Wysokość dofinansowania wynosi: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 w przypadku domów jednorodzinnych: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a) standard NF40 – Euco ≤ 40 kWh/(m</w:t>
      </w:r>
      <w:r w:rsidRPr="00A52EF3">
        <w:rPr>
          <w:rFonts w:ascii="Times New Roman" w:eastAsia="Calibri" w:hAnsi="Times New Roman" w:cs="Times New Roman"/>
          <w:i/>
          <w:iCs/>
          <w:sz w:val="24"/>
          <w:szCs w:val="24"/>
          <w:vertAlign w:val="superscript"/>
        </w:rPr>
        <w:t>2</w:t>
      </w:r>
      <w:r w:rsidRPr="00A52EF3">
        <w:rPr>
          <w:rFonts w:ascii="Times New Roman" w:eastAsia="Calibri" w:hAnsi="Times New Roman" w:cs="Times New Roman"/>
          <w:i/>
          <w:iCs/>
          <w:sz w:val="24"/>
          <w:szCs w:val="24"/>
        </w:rPr>
        <w:t xml:space="preserve"> *rok) – dotacja 30 000 zł brutto;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b) standard NF15 – Euco ≤ 15 kWh/(m</w:t>
      </w:r>
      <w:r w:rsidRPr="00A52EF3">
        <w:rPr>
          <w:rFonts w:ascii="Times New Roman" w:eastAsia="Calibri" w:hAnsi="Times New Roman" w:cs="Times New Roman"/>
          <w:i/>
          <w:iCs/>
          <w:sz w:val="24"/>
          <w:szCs w:val="24"/>
          <w:vertAlign w:val="superscript"/>
        </w:rPr>
        <w:t>2</w:t>
      </w:r>
      <w:r w:rsidRPr="00A52EF3">
        <w:rPr>
          <w:rFonts w:ascii="Times New Roman" w:eastAsia="Calibri" w:hAnsi="Times New Roman" w:cs="Times New Roman"/>
          <w:i/>
          <w:iCs/>
          <w:sz w:val="24"/>
          <w:szCs w:val="24"/>
        </w:rPr>
        <w:t xml:space="preserve"> *rok) – dotacja 50 000 zł brutto;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 w przypadku lokali mieszkalnych w budynkach wielorodzinnych: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c) standard NF40 – Euco ≤ 40 kWh/(m</w:t>
      </w:r>
      <w:r w:rsidRPr="00A52EF3">
        <w:rPr>
          <w:rFonts w:ascii="Times New Roman" w:eastAsia="Calibri" w:hAnsi="Times New Roman" w:cs="Times New Roman"/>
          <w:i/>
          <w:iCs/>
          <w:sz w:val="24"/>
          <w:szCs w:val="24"/>
          <w:vertAlign w:val="superscript"/>
        </w:rPr>
        <w:t>2</w:t>
      </w:r>
      <w:r w:rsidRPr="00A52EF3">
        <w:rPr>
          <w:rFonts w:ascii="Times New Roman" w:eastAsia="Calibri" w:hAnsi="Times New Roman" w:cs="Times New Roman"/>
          <w:i/>
          <w:iCs/>
          <w:sz w:val="24"/>
          <w:szCs w:val="24"/>
        </w:rPr>
        <w:t xml:space="preserve"> *rok) – dotacja 11 000 zł brutto;</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i/>
          <w:iCs/>
          <w:sz w:val="24"/>
          <w:szCs w:val="24"/>
        </w:rPr>
        <w:t>d) standard NF15 – Euco ≤ 15 kWh/(m</w:t>
      </w:r>
      <w:r w:rsidRPr="00A52EF3">
        <w:rPr>
          <w:rFonts w:ascii="Times New Roman" w:eastAsia="Calibri" w:hAnsi="Times New Roman" w:cs="Times New Roman"/>
          <w:i/>
          <w:iCs/>
          <w:sz w:val="24"/>
          <w:szCs w:val="24"/>
          <w:vertAlign w:val="superscript"/>
        </w:rPr>
        <w:t>2</w:t>
      </w:r>
      <w:r w:rsidRPr="00A52EF3">
        <w:rPr>
          <w:rFonts w:ascii="Times New Roman" w:eastAsia="Calibri" w:hAnsi="Times New Roman" w:cs="Times New Roman"/>
          <w:i/>
          <w:iCs/>
          <w:sz w:val="24"/>
          <w:szCs w:val="24"/>
        </w:rPr>
        <w:t xml:space="preserve"> *rok) – dotacja 16 000 zł brutto.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C4C8E" w:rsidRPr="00A52EF3" w:rsidRDefault="00DC4C8E" w:rsidP="00F25FCA">
      <w:pPr>
        <w:tabs>
          <w:tab w:val="left" w:pos="427"/>
        </w:tabs>
        <w:spacing w:before="115" w:after="0" w:line="360" w:lineRule="auto"/>
        <w:jc w:val="both"/>
        <w:rPr>
          <w:rFonts w:ascii="Times New Roman" w:eastAsia="Calibri" w:hAnsi="Times New Roman" w:cs="Times New Roman"/>
          <w:b/>
          <w:bCs/>
          <w:i/>
          <w:iCs/>
          <w:sz w:val="24"/>
          <w:szCs w:val="24"/>
        </w:rPr>
      </w:pPr>
    </w:p>
    <w:p w:rsidR="00DC4C8E" w:rsidRPr="00A52EF3" w:rsidRDefault="00DC4C8E" w:rsidP="00F25FCA">
      <w:pPr>
        <w:tabs>
          <w:tab w:val="left" w:pos="427"/>
        </w:tabs>
        <w:spacing w:before="115" w:after="0" w:line="360" w:lineRule="auto"/>
        <w:jc w:val="both"/>
        <w:rPr>
          <w:rFonts w:ascii="Times New Roman" w:eastAsia="Calibri" w:hAnsi="Times New Roman" w:cs="Times New Roman"/>
          <w:b/>
          <w:bCs/>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lastRenderedPageBreak/>
        <w:t xml:space="preserve">Część 3) Inwestycje energooszczędne w małych i średnich przedsiębiorstwach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Prywatne podmioty prawne (przedsiębiorstwa) utworzone na mocy polskiego prawa i działające w Polsce. Beneficjent musi spełniać definicję mikroprzedsiębiorstw oraz małych i średnich przedsiębiorstw zawartą w zaleceniu Komisji z dnia 6 maja 2003 r. dotyczącym definicji mikroprzedsiębiorstw oraz małych i średnich przedsiębiorstw (Dz. Urz. WE L 124 z 20.5.2003, s. 36).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W ramach programu do dofinansowania kwalifikują się następujące przedsięwzięcia: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i/>
          <w:iCs/>
          <w:sz w:val="24"/>
          <w:szCs w:val="24"/>
        </w:rPr>
        <w:t>1) Inwestycje LEME (LEME – ang.: List of Eligible Materials and Equipment (Lista kwalifikowanych materiałów i urządzeń) – przedsięwzięcia obejmujące realizację działań inwestycyjnych w zakresie: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poprawy efektywności energetycznej i/lub zastosowania odnawialnych źródeł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termomodernizacji budynku/ów i/lub zastosowania odnawialnych źródeł energii, realizowane poprzez zakup materiałów/urządzeń/technologii zamieszczonych na Liście LEME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Dotyczy przedsięwzięć, których finansowanie w formie kredytu z dotacją nie przekracza</w:t>
      </w:r>
      <w:r w:rsidRPr="00A52EF3">
        <w:rPr>
          <w:rFonts w:ascii="Times New Roman" w:eastAsia="Calibri" w:hAnsi="Times New Roman" w:cs="Times New Roman"/>
          <w:i/>
          <w:iCs/>
          <w:sz w:val="24"/>
          <w:szCs w:val="24"/>
        </w:rPr>
        <w:br/>
        <w:t xml:space="preserve">250 000 euro;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Inwestycje Wspomagane – przedsięwzięcia obejmujące realizację działań inwestycyjnych, które nie kwalifikują się jako Inwestycje LEME, w zakresie: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poprawy efektywności energetycznej i/lub odnawialnych źródeł energii w wyniku których zostanie osiągnięte min. 20% oszczędności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termomodernizacji budynku/ów i/lub odnawialnych źródeł energii w wyniku których zostanie osiągnięte minimum 30% oszczędności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Dotyczy przedsięwzięć, których finansowanie w formie kredytu z dotacją nie przekroczy 1 000 000 euro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Okres wdrażania w latach 2014 – 2017</w:t>
      </w:r>
    </w:p>
    <w:p w:rsidR="00DC4C8E" w:rsidRPr="00A52EF3" w:rsidRDefault="00DC4C8E" w:rsidP="00F25FCA">
      <w:pPr>
        <w:tabs>
          <w:tab w:val="left" w:pos="427"/>
        </w:tabs>
        <w:spacing w:before="115" w:after="0" w:line="360" w:lineRule="auto"/>
        <w:jc w:val="both"/>
        <w:rPr>
          <w:rFonts w:ascii="Times New Roman" w:eastAsia="Calibri" w:hAnsi="Times New Roman" w:cs="Times New Roman"/>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lastRenderedPageBreak/>
        <w:t xml:space="preserve">Formy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Dotacje na częściowe spłaty kapitału kredytów bankowych realizowane za pośrednictwem banku na podstawie umowy o współpracę zawartej z NFOŚiGW.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Dotacja w wysokości: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10% kapitału kredytu bankowego wykorzystanego na sfinansowanie kosztów kwalifikowanych przedsięwzięć obejmujących realizację działań inwestycyjnych w zakresie poprawy efektywności energetycznej,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10% kapitału kredytu bankowego, wykorzystanego na sfinansowanie kosztów kwalifikowanych przedsięwzięć obejmujących realizację działań inwestycyjnych w zakresie termomodernizacji budynku/ów,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c) 15% kapitału kredytu bankowego, wykorzystanego na sfinansowanie kosztów kwalifikowanych przedsięwzięć wymienionych w lit. A) lub b), w przypadku, gdy inwestycja została poprzedzona audytem energetycznym. Zakres rzeczowy zrealizowanego przedsięwzięcia musi wynikać z przeprowadzonego audytu energetycznego,</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 dodatkowo do 15% kapitału kredytu bankowego na pokrycie poniesionych kosztów wdrożenia systemu zarządzania energią (SZE), jednak nie więcej niż 10 000 złotych, jeśli </w:t>
      </w:r>
      <w:r w:rsidRPr="00A52EF3">
        <w:rPr>
          <w:rFonts w:ascii="Times New Roman" w:eastAsia="Calibri" w:hAnsi="Times New Roman" w:cs="Times New Roman"/>
          <w:i/>
          <w:iCs/>
          <w:sz w:val="24"/>
          <w:szCs w:val="24"/>
        </w:rPr>
        <w:br/>
        <w:t>w ramach zrealizowanego przedsięwzięcia beneficjent wdroży SZE według zasad określonych przez NFOŚiGW</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t xml:space="preserve">Część 4) RYŚ – termomodernizacja budynków jednorodzinnych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osoby fizyczne,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jednostki samorządu terytorialnego,</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3) organizacje pozarządowe, w tym fundacje i stowarzyszenia, a także kościoły i inne związki wyznaniowe wpisane do rejestru kościołów i innych związków wyznaniowych oraz kościelne osoby prawne, posiadające prawo własności (w tym: współwłasność, spółdzielcze </w:t>
      </w:r>
      <w:r w:rsidRPr="00A52EF3">
        <w:rPr>
          <w:rFonts w:ascii="Times New Roman" w:eastAsia="Calibri" w:hAnsi="Times New Roman" w:cs="Times New Roman"/>
          <w:i/>
          <w:iCs/>
          <w:sz w:val="24"/>
          <w:szCs w:val="24"/>
        </w:rPr>
        <w:lastRenderedPageBreak/>
        <w:t xml:space="preserve">własnościowe prawo) do jednorodzinnego budynku mieszkalnego dopuszczonego </w:t>
      </w:r>
      <w:r w:rsidRPr="00A52EF3">
        <w:rPr>
          <w:rFonts w:ascii="Times New Roman" w:eastAsia="Calibri" w:hAnsi="Times New Roman" w:cs="Times New Roman"/>
          <w:i/>
          <w:iCs/>
          <w:sz w:val="24"/>
          <w:szCs w:val="24"/>
        </w:rPr>
        <w:br/>
        <w:t>do użytkowania.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W przypadku gdy jednorodzinny budynek mieszkalny jest we współwłasności kilku osób lub podmiotów, dofinansowanie przysługuje tylko jednemu współwłaścicielowi, pod warunkiem wyrażenia zgody przez pozostałych współwłaścicieli tego budynku.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Przez jednorodzinny budynek mieszkalny należy rozumieć budynek wolno stojący albo budynek w zabudowie bliźniaczej, szeregowej lub grupowej, stanowiący konstrukcyjnie samodzielną całość, przeznaczony i wykorzystywany na cele mieszkaniowe co najmniej </w:t>
      </w:r>
      <w:r w:rsidRPr="00A52EF3">
        <w:rPr>
          <w:rFonts w:ascii="Times New Roman" w:eastAsia="Calibri" w:hAnsi="Times New Roman" w:cs="Times New Roman"/>
          <w:i/>
          <w:iCs/>
          <w:sz w:val="24"/>
          <w:szCs w:val="24"/>
        </w:rPr>
        <w:br/>
        <w:t xml:space="preserve">w połowie powierzchni całkowitej.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i/>
          <w:iCs/>
          <w:sz w:val="24"/>
          <w:szCs w:val="24"/>
        </w:rPr>
      </w:pPr>
      <w:r w:rsidRPr="00A52EF3">
        <w:rPr>
          <w:rFonts w:ascii="Times New Roman" w:eastAsia="Calibri" w:hAnsi="Times New Roman" w:cs="Times New Roman"/>
          <w:i/>
          <w:iCs/>
          <w:sz w:val="24"/>
          <w:szCs w:val="24"/>
        </w:rPr>
        <w:t xml:space="preserve">Przedsięwzięcia polegające na wykonaniu następujących prac remontowych w dopuszczonym do użytkowania jednorodzinnym budynku mieszkalnym, spełniających wymagane standardy techniczne. Wykonanie elementów z Grupy II lub III uwarunkowane jest zrealizowaniem prac z Grupy I lub spełnieniem dodatkowych warunków, o których mowa w poniższej tabeli </w:t>
      </w:r>
    </w:p>
    <w:p w:rsidR="002C1963" w:rsidRPr="00A52EF3" w:rsidRDefault="002C1963" w:rsidP="00F25FCA">
      <w:pPr>
        <w:tabs>
          <w:tab w:val="left" w:pos="427"/>
        </w:tabs>
        <w:spacing w:before="115" w:after="0" w:line="360" w:lineRule="auto"/>
        <w:jc w:val="both"/>
        <w:rPr>
          <w:rFonts w:ascii="Times New Roman" w:eastAsia="Calibri" w:hAnsi="Times New Roman" w:cs="Times New Roman"/>
          <w:i/>
          <w:iCs/>
          <w:sz w:val="24"/>
          <w:szCs w:val="24"/>
        </w:rPr>
      </w:pPr>
    </w:p>
    <w:p w:rsidR="002C1963" w:rsidRPr="00A52EF3" w:rsidRDefault="002C1963" w:rsidP="00F25FCA">
      <w:pPr>
        <w:tabs>
          <w:tab w:val="left" w:pos="427"/>
        </w:tabs>
        <w:spacing w:before="115" w:after="0" w:line="360" w:lineRule="auto"/>
        <w:jc w:val="both"/>
        <w:rPr>
          <w:rFonts w:ascii="Times New Roman" w:eastAsia="Calibri" w:hAnsi="Times New Roman" w:cs="Times New Roman"/>
        </w:rPr>
      </w:pPr>
    </w:p>
    <w:tbl>
      <w:tblPr>
        <w:tblW w:w="9080"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2900"/>
        <w:gridCol w:w="2880"/>
        <w:gridCol w:w="3300"/>
      </w:tblGrid>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Nazwa elementu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Wymagany standard techniczny dla dofinansowywanych przedsięwzięć</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Dodatkowe warunki </w:t>
            </w:r>
          </w:p>
        </w:tc>
      </w:tr>
      <w:tr w:rsidR="00DD1F74" w:rsidRPr="00A52EF3" w:rsidTr="00DC4C8E">
        <w:trPr>
          <w:cantSplit/>
          <w:trHeight w:val="170"/>
        </w:trPr>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Grupa I. Prace termoizolacyjne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1. Ocieplenie ścian zewnętrznych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U ≤ 0.20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nie dotyczy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lastRenderedPageBreak/>
              <w:t xml:space="preserve">Element 2. Ocieplenie dachu / stropodachu nad ogrzewanymi pomieszczeniami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U ≤ 0.15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Jeżeli zakres prac obejmuje dodatkowo wymianę konstrukcji dachu, pokrycia dachowego, co bezpośrednio wynika z wprowadzenia dodatkowych warstw 7 izolacyjnych, należy wykonać dokumentację projektową, o której mowa w ust. 6 pkt 2 lit. A poz. Projekt 1.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3. Ocieplenie podłogi na gruncie / stropu nad nieogrzewaną piwnicą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U ≤ 0.30 [W/(m2 • K)] (dopuszcza się zmniejszenie wymagań w przypadku braku możliwości technicznych)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nie dotyczy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4. Wymiana okien, drzwi zewnętrznych, bramy garażowej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 okna: </w:t>
            </w:r>
            <w:r w:rsidRPr="00A52EF3">
              <w:rPr>
                <w:rFonts w:ascii="Times New Roman" w:eastAsia="Times New Roman" w:hAnsi="Times New Roman" w:cs="Times New Roman"/>
                <w:sz w:val="24"/>
                <w:szCs w:val="24"/>
                <w:lang w:eastAsia="pl-PL"/>
              </w:rPr>
              <w:br/>
              <w:t xml:space="preserve">U ≤ 0,90 [W/(m2 • K)] </w:t>
            </w:r>
          </w:p>
          <w:p w:rsidR="00DD1F74" w:rsidRPr="00A52EF3" w:rsidRDefault="00DD1F74" w:rsidP="00F25FCA">
            <w:pPr>
              <w:spacing w:line="360" w:lineRule="auto"/>
              <w:ind w:firstLine="57"/>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 drzwi zewnętrzne i/lub drzwi garażowe: </w:t>
            </w:r>
            <w:r w:rsidRPr="00A52EF3">
              <w:rPr>
                <w:rFonts w:ascii="Times New Roman" w:eastAsia="Times New Roman" w:hAnsi="Times New Roman" w:cs="Times New Roman"/>
                <w:sz w:val="24"/>
                <w:szCs w:val="24"/>
                <w:lang w:eastAsia="pl-PL"/>
              </w:rPr>
              <w:br/>
              <w:t xml:space="preserve">U ≤ 1,3 [W/(m2 • K)] </w:t>
            </w:r>
          </w:p>
        </w:tc>
        <w:tc>
          <w:tcPr>
            <w:tcW w:w="3300"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nie dotyczy </w:t>
            </w:r>
          </w:p>
        </w:tc>
      </w:tr>
      <w:tr w:rsidR="00DD1F74" w:rsidRPr="00A52EF3" w:rsidTr="00DC4C8E">
        <w:trPr>
          <w:cantSplit/>
        </w:trPr>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Grupa II. Instalacje wewnętrzne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5. Instalacja wentylacji mechanicznej nawiewno-wywiewnej z odzyskiem ciepła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  sprawność odzysku ciepła: </w:t>
            </w:r>
            <w:r w:rsidRPr="00A52EF3">
              <w:rPr>
                <w:rFonts w:ascii="Times New Roman" w:eastAsia="Times New Roman" w:hAnsi="Times New Roman" w:cs="Times New Roman"/>
                <w:sz w:val="24"/>
                <w:szCs w:val="24"/>
                <w:lang w:eastAsia="pl-PL"/>
              </w:rPr>
              <w:br/>
              <w:t xml:space="preserve">η ≥ 85% </w:t>
            </w:r>
            <w:r w:rsidRPr="00A52EF3">
              <w:rPr>
                <w:rFonts w:ascii="Times New Roman" w:eastAsia="Times New Roman" w:hAnsi="Times New Roman" w:cs="Times New Roman"/>
                <w:sz w:val="24"/>
                <w:szCs w:val="24"/>
                <w:lang w:eastAsia="pl-PL"/>
              </w:rPr>
              <w:br/>
              <w:t xml:space="preserve">- współczynnik nakładu energii elektrycznej: </w:t>
            </w:r>
            <w:r w:rsidRPr="00A52EF3">
              <w:rPr>
                <w:rFonts w:ascii="Times New Roman" w:eastAsia="Times New Roman" w:hAnsi="Times New Roman" w:cs="Times New Roman"/>
                <w:sz w:val="24"/>
                <w:szCs w:val="24"/>
                <w:lang w:eastAsia="pl-PL"/>
              </w:rPr>
              <w:br/>
              <w:t xml:space="preserve">≤ 0,50 Wh/m3 </w:t>
            </w:r>
          </w:p>
        </w:tc>
        <w:tc>
          <w:tcPr>
            <w:tcW w:w="3300" w:type="dxa"/>
            <w:vMerge w:val="restart"/>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Należy osiągnąć wymagany standard techniczny dla co najmniej Elementu 1 (ściany) albo Elementu 2 (dach) i minimalne wymagania dla </w:t>
            </w:r>
            <w:r w:rsidRPr="00A52EF3">
              <w:rPr>
                <w:rFonts w:ascii="Times New Roman" w:eastAsia="Times New Roman" w:hAnsi="Times New Roman" w:cs="Times New Roman"/>
                <w:sz w:val="24"/>
                <w:szCs w:val="24"/>
                <w:lang w:eastAsia="pl-PL"/>
              </w:rPr>
              <w:lastRenderedPageBreak/>
              <w:t xml:space="preserve">pozostałych elementów z tej grupy na poziomie: </w:t>
            </w:r>
            <w:r w:rsidRPr="00A52EF3">
              <w:rPr>
                <w:rFonts w:ascii="Times New Roman" w:eastAsia="Times New Roman" w:hAnsi="Times New Roman" w:cs="Times New Roman"/>
                <w:sz w:val="24"/>
                <w:szCs w:val="24"/>
                <w:lang w:eastAsia="pl-PL"/>
              </w:rPr>
              <w:br/>
              <w:t xml:space="preserve">a) ściany zewnętrzne: </w:t>
            </w:r>
            <w:r w:rsidRPr="00A52EF3">
              <w:rPr>
                <w:rFonts w:ascii="Times New Roman" w:eastAsia="Times New Roman" w:hAnsi="Times New Roman" w:cs="Times New Roman"/>
                <w:sz w:val="24"/>
                <w:szCs w:val="24"/>
                <w:lang w:eastAsia="pl-PL"/>
              </w:rPr>
              <w:br/>
              <w:t xml:space="preserve">U ≤ 0.30 [W/(m2 • K)]; </w:t>
            </w:r>
            <w:r w:rsidRPr="00A52EF3">
              <w:rPr>
                <w:rFonts w:ascii="Times New Roman" w:eastAsia="Times New Roman" w:hAnsi="Times New Roman" w:cs="Times New Roman"/>
                <w:sz w:val="24"/>
                <w:szCs w:val="24"/>
                <w:lang w:eastAsia="pl-PL"/>
              </w:rPr>
              <w:br/>
              <w:t xml:space="preserve">b) dach / stropodach: </w:t>
            </w:r>
            <w:r w:rsidRPr="00A52EF3">
              <w:rPr>
                <w:rFonts w:ascii="Times New Roman" w:eastAsia="Times New Roman" w:hAnsi="Times New Roman" w:cs="Times New Roman"/>
                <w:sz w:val="24"/>
                <w:szCs w:val="24"/>
                <w:lang w:eastAsia="pl-PL"/>
              </w:rPr>
              <w:br/>
              <w:t xml:space="preserve">U ≤ 0.30 [W/(m2 • K)]; </w:t>
            </w:r>
            <w:r w:rsidRPr="00A52EF3">
              <w:rPr>
                <w:rFonts w:ascii="Times New Roman" w:eastAsia="Times New Roman" w:hAnsi="Times New Roman" w:cs="Times New Roman"/>
                <w:sz w:val="24"/>
                <w:szCs w:val="24"/>
                <w:lang w:eastAsia="pl-PL"/>
              </w:rPr>
              <w:br/>
              <w:t xml:space="preserve">c) strop nad nieogrzewaną piwnicą: </w:t>
            </w:r>
            <w:r w:rsidRPr="00A52EF3">
              <w:rPr>
                <w:rFonts w:ascii="Times New Roman" w:eastAsia="Times New Roman" w:hAnsi="Times New Roman" w:cs="Times New Roman"/>
                <w:sz w:val="24"/>
                <w:szCs w:val="24"/>
                <w:lang w:eastAsia="pl-PL"/>
              </w:rPr>
              <w:br/>
              <w:t xml:space="preserve">U ≤ 0.60 [W/(m2 • K)]; </w:t>
            </w:r>
            <w:r w:rsidRPr="00A52EF3">
              <w:rPr>
                <w:rFonts w:ascii="Times New Roman" w:eastAsia="Times New Roman" w:hAnsi="Times New Roman" w:cs="Times New Roman"/>
                <w:sz w:val="24"/>
                <w:szCs w:val="24"/>
                <w:lang w:eastAsia="pl-PL"/>
              </w:rPr>
              <w:br/>
              <w:t xml:space="preserve">d) dowolne okna jednoramowe z zestawami dwuszybowymi. </w:t>
            </w:r>
          </w:p>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Należy wykonać dokumentację projektową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lastRenderedPageBreak/>
              <w:t xml:space="preserve">Element 6. Instalacja wewnętrzna ogrzewania i ciepłej wody użytkowej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zgodnie z dokumentacją projektową</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r w:rsidR="00DD1F74" w:rsidRPr="00A52EF3" w:rsidTr="00DC4C8E">
        <w:trPr>
          <w:cantSplit/>
        </w:trPr>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lastRenderedPageBreak/>
              <w:t xml:space="preserve">Grupa III. Wymiana źródła ciepła, zastosowanie odnawialnych źródeł energii cieplnej </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7. Instalacja kotła kondensacyjnego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nominalna sprawność: </w:t>
            </w:r>
            <w:r w:rsidRPr="00A52EF3">
              <w:rPr>
                <w:rFonts w:ascii="Times New Roman" w:eastAsia="Times New Roman" w:hAnsi="Times New Roman" w:cs="Times New Roman"/>
                <w:sz w:val="24"/>
                <w:szCs w:val="24"/>
                <w:lang w:eastAsia="pl-PL"/>
              </w:rPr>
              <w:br/>
              <w:t xml:space="preserve">η ≥ 102% </w:t>
            </w:r>
          </w:p>
        </w:tc>
        <w:tc>
          <w:tcPr>
            <w:tcW w:w="3300" w:type="dxa"/>
            <w:vMerge w:val="restart"/>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lang w:eastAsia="pl-PL"/>
              </w:rPr>
            </w:pPr>
            <w:r w:rsidRPr="00A52EF3">
              <w:rPr>
                <w:rFonts w:ascii="Times New Roman" w:eastAsia="Times New Roman" w:hAnsi="Times New Roman" w:cs="Times New Roman"/>
                <w:sz w:val="24"/>
                <w:szCs w:val="24"/>
                <w:lang w:eastAsia="pl-PL"/>
              </w:rPr>
              <w:t xml:space="preserve">Należy osiągnąć wymagany standard techniczny dla co najmniej Elementu 1 (ściany) albo Elementu 2 (dach) i minimalne wymagania dla elementów z Grupy I i II na poziomie: </w:t>
            </w:r>
            <w:r w:rsidRPr="00A52EF3">
              <w:rPr>
                <w:rFonts w:ascii="Times New Roman" w:eastAsia="Times New Roman" w:hAnsi="Times New Roman" w:cs="Times New Roman"/>
                <w:sz w:val="24"/>
                <w:szCs w:val="24"/>
                <w:lang w:eastAsia="pl-PL"/>
              </w:rPr>
              <w:br/>
              <w:t xml:space="preserve">a) ściany zewnętrzne: </w:t>
            </w:r>
            <w:r w:rsidRPr="00A52EF3">
              <w:rPr>
                <w:rFonts w:ascii="Times New Roman" w:eastAsia="Times New Roman" w:hAnsi="Times New Roman" w:cs="Times New Roman"/>
                <w:sz w:val="24"/>
                <w:szCs w:val="24"/>
                <w:lang w:eastAsia="pl-PL"/>
              </w:rPr>
              <w:br/>
              <w:t xml:space="preserve">U ≤ 0.30 [W/(m2 • K)]; </w:t>
            </w:r>
            <w:r w:rsidRPr="00A52EF3">
              <w:rPr>
                <w:rFonts w:ascii="Times New Roman" w:eastAsia="Times New Roman" w:hAnsi="Times New Roman" w:cs="Times New Roman"/>
                <w:sz w:val="24"/>
                <w:szCs w:val="24"/>
                <w:lang w:eastAsia="pl-PL"/>
              </w:rPr>
              <w:br/>
              <w:t xml:space="preserve">b) dach / stropodach: </w:t>
            </w:r>
            <w:r w:rsidRPr="00A52EF3">
              <w:rPr>
                <w:rFonts w:ascii="Times New Roman" w:eastAsia="Times New Roman" w:hAnsi="Times New Roman" w:cs="Times New Roman"/>
                <w:sz w:val="24"/>
                <w:szCs w:val="24"/>
                <w:lang w:eastAsia="pl-PL"/>
              </w:rPr>
              <w:br/>
              <w:t xml:space="preserve">U ≤ 0.30 [W/(m2 • K)]; </w:t>
            </w:r>
            <w:r w:rsidRPr="00A52EF3">
              <w:rPr>
                <w:rFonts w:ascii="Times New Roman" w:eastAsia="Times New Roman" w:hAnsi="Times New Roman" w:cs="Times New Roman"/>
                <w:sz w:val="24"/>
                <w:szCs w:val="24"/>
                <w:lang w:eastAsia="pl-PL"/>
              </w:rPr>
              <w:br/>
              <w:t xml:space="preserve">c) strop nad nieogrzewaną piwnicą: </w:t>
            </w:r>
            <w:r w:rsidRPr="00A52EF3">
              <w:rPr>
                <w:rFonts w:ascii="Times New Roman" w:eastAsia="Times New Roman" w:hAnsi="Times New Roman" w:cs="Times New Roman"/>
                <w:sz w:val="24"/>
                <w:szCs w:val="24"/>
                <w:lang w:eastAsia="pl-PL"/>
              </w:rPr>
              <w:br/>
            </w:r>
            <w:r w:rsidRPr="00A52EF3">
              <w:rPr>
                <w:rFonts w:ascii="Times New Roman" w:eastAsia="Times New Roman" w:hAnsi="Times New Roman" w:cs="Times New Roman"/>
                <w:sz w:val="24"/>
                <w:szCs w:val="24"/>
                <w:lang w:eastAsia="pl-PL"/>
              </w:rPr>
              <w:lastRenderedPageBreak/>
              <w:t xml:space="preserve">U ≤ 0.60 [W/(m2 • K)]; </w:t>
            </w:r>
            <w:r w:rsidRPr="00A52EF3">
              <w:rPr>
                <w:rFonts w:ascii="Times New Roman" w:eastAsia="Times New Roman" w:hAnsi="Times New Roman" w:cs="Times New Roman"/>
                <w:sz w:val="24"/>
                <w:szCs w:val="24"/>
                <w:lang w:eastAsia="pl-PL"/>
              </w:rPr>
              <w:br/>
              <w:t xml:space="preserve">d) dowolne okna jednoramowe z zestawami dwuszybowymi. </w:t>
            </w:r>
            <w:r w:rsidRPr="00A52EF3">
              <w:rPr>
                <w:rFonts w:ascii="Times New Roman" w:eastAsia="Times New Roman" w:hAnsi="Times New Roman" w:cs="Times New Roman"/>
                <w:sz w:val="24"/>
                <w:szCs w:val="24"/>
                <w:lang w:eastAsia="pl-PL"/>
              </w:rPr>
              <w:br/>
              <w:t>e) sprawna wentylacja grawitacyjna z nawiewnikami w oknach;</w:t>
            </w:r>
            <w:r w:rsidRPr="00A52EF3">
              <w:rPr>
                <w:rFonts w:ascii="Times New Roman" w:eastAsia="Times New Roman" w:hAnsi="Times New Roman" w:cs="Times New Roman"/>
                <w:sz w:val="24"/>
                <w:szCs w:val="24"/>
                <w:lang w:eastAsia="pl-PL"/>
              </w:rPr>
              <w:br/>
              <w:t xml:space="preserve">f) izolacja odkrytych przewodów ogrzewania i ciepłej wody użytkowej w pomieszczeniach nieogrzewanych i zawory termostatyczne wraz z głowicami (o ile dopuszczają to możliwości techniczne). </w:t>
            </w:r>
          </w:p>
          <w:p w:rsidR="00DD1F74" w:rsidRPr="00A52EF3" w:rsidRDefault="00DD1F74" w:rsidP="00F25FCA">
            <w:pPr>
              <w:spacing w:line="360" w:lineRule="auto"/>
              <w:jc w:val="center"/>
              <w:rPr>
                <w:rFonts w:ascii="Times New Roman" w:eastAsia="Times New Roman" w:hAnsi="Times New Roman" w:cs="Times New Roman"/>
                <w:lang w:eastAsia="pl-PL"/>
              </w:rPr>
            </w:pPr>
            <w:r w:rsidRPr="00A52EF3">
              <w:rPr>
                <w:rFonts w:ascii="Times New Roman" w:eastAsia="Times New Roman" w:hAnsi="Times New Roman" w:cs="Times New Roman"/>
                <w:sz w:val="24"/>
                <w:szCs w:val="24"/>
                <w:lang w:eastAsia="pl-PL"/>
              </w:rPr>
              <w:t>Należy wykonać dokumentację projektową</w:t>
            </w: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8. Instalacja węzła cieplnego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nominalna sprawność:  </w:t>
            </w:r>
            <w:r w:rsidRPr="00A52EF3">
              <w:rPr>
                <w:rFonts w:ascii="Times New Roman" w:eastAsia="Times New Roman" w:hAnsi="Times New Roman" w:cs="Times New Roman"/>
                <w:sz w:val="24"/>
                <w:szCs w:val="24"/>
                <w:lang w:eastAsia="pl-PL"/>
              </w:rPr>
              <w:br/>
              <w:t xml:space="preserve">η ≥ 98%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9. Instalacja kotła na biomasę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 kotły dedykowane do spalania biomasy </w:t>
            </w:r>
            <w:r w:rsidRPr="00A52EF3">
              <w:rPr>
                <w:rFonts w:ascii="Times New Roman" w:eastAsia="Times New Roman" w:hAnsi="Times New Roman" w:cs="Times New Roman"/>
                <w:sz w:val="24"/>
                <w:szCs w:val="24"/>
                <w:lang w:eastAsia="pl-PL"/>
              </w:rPr>
              <w:br/>
              <w:t xml:space="preserve">- klasa 5, zgodnie z certyfikatem zgodności i z normą PN-EN 303-5 </w:t>
            </w:r>
            <w:r w:rsidRPr="00A52EF3">
              <w:rPr>
                <w:rFonts w:ascii="Times New Roman" w:eastAsia="Times New Roman" w:hAnsi="Times New Roman" w:cs="Times New Roman"/>
                <w:sz w:val="24"/>
                <w:szCs w:val="24"/>
                <w:lang w:eastAsia="pl-PL"/>
              </w:rPr>
              <w:br/>
              <w:t xml:space="preserve">- nominalna sprawność: </w:t>
            </w:r>
            <w:r w:rsidRPr="00A52EF3">
              <w:rPr>
                <w:rFonts w:ascii="Times New Roman" w:eastAsia="Times New Roman" w:hAnsi="Times New Roman" w:cs="Times New Roman"/>
                <w:sz w:val="24"/>
                <w:szCs w:val="24"/>
                <w:lang w:eastAsia="pl-PL"/>
              </w:rPr>
              <w:br/>
              <w:t xml:space="preserve">η ≥ 85%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lastRenderedPageBreak/>
              <w:t xml:space="preserve">Element 10. Instalacja pompy ciepła typu solanka/woda, woda/woda lub bezpośrednie odparowanie w gruncie/woda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zgodnie z dokumentacja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lastRenderedPageBreak/>
              <w:t xml:space="preserve">Element 11. Instalacja pompy ciepła typu powietrze/woda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zgodnie z dokumentacją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r w:rsidR="00DD1F74" w:rsidRPr="00A52EF3" w:rsidTr="00DC4C8E">
        <w:trPr>
          <w:cantSplit/>
        </w:trPr>
        <w:tc>
          <w:tcPr>
            <w:tcW w:w="290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Element 12. Instalacja kolektorów słonecznych </w:t>
            </w:r>
          </w:p>
        </w:tc>
        <w:tc>
          <w:tcPr>
            <w:tcW w:w="2880" w:type="dxa"/>
            <w:tcBorders>
              <w:top w:val="single" w:sz="2" w:space="0" w:color="000001"/>
              <w:left w:val="single" w:sz="2" w:space="0" w:color="000001"/>
              <w:bottom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zgodnie z dokumentacją projektową </w:t>
            </w:r>
          </w:p>
        </w:tc>
        <w:tc>
          <w:tcPr>
            <w:tcW w:w="3300" w:type="dxa"/>
            <w:vMerge/>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r>
    </w:tbl>
    <w:p w:rsidR="00DD1F74" w:rsidRPr="00A52EF3" w:rsidRDefault="00DD1F74" w:rsidP="00F25FCA">
      <w:pPr>
        <w:numPr>
          <w:ilvl w:val="0"/>
          <w:numId w:val="51"/>
        </w:num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i/>
          <w:iCs/>
          <w:sz w:val="24"/>
          <w:szCs w:val="24"/>
        </w:rPr>
        <w:t xml:space="preserve">przez symbol U należy rozumieć współczynnik przenikania ciepła Uc(max) [W/(m2*K)] </w:t>
      </w:r>
    </w:p>
    <w:p w:rsidR="00DD1F74" w:rsidRPr="00A52EF3" w:rsidRDefault="00DD1F74" w:rsidP="00F25FCA">
      <w:pPr>
        <w:numPr>
          <w:ilvl w:val="0"/>
          <w:numId w:val="50"/>
        </w:num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i/>
          <w:iCs/>
          <w:sz w:val="24"/>
          <w:szCs w:val="24"/>
        </w:rPr>
        <w:t xml:space="preserve">w przypadku dostępności ciepła sieciowego nie dopuszcza się stosowania innego źródła ciepła wymienionego w Grupie III z wyjątkiem Elementu 8.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Program realizowany będzie w latach 2015 – 2023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r w:rsidRPr="00A52EF3">
        <w:rPr>
          <w:rFonts w:ascii="Times New Roman" w:eastAsia="Calibri" w:hAnsi="Times New Roman" w:cs="Times New Roman"/>
          <w:i/>
          <w:iCs/>
          <w:sz w:val="24"/>
          <w:szCs w:val="24"/>
        </w:rPr>
        <w:t xml:space="preserve">Okres kwalifikowalności kosztów: od 01.01.2015 do 30.11.2023 r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Formy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1) środki udostępnione WFOŚiGW z przeznaczeniem na udzielanie pożyczek;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2) środki udostępnione WFOŚiGW z przeznaczeniem na udzielanie dotacji.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Dofinansowanie w formie pożyczki wraz z dotacją łącznie do 100% kosztów kwalifikowanych, zgodnie z poniższą tabelą </w:t>
      </w:r>
    </w:p>
    <w:tbl>
      <w:tblPr>
        <w:tblW w:w="9080" w:type="dxa"/>
        <w:tblInd w:w="50" w:type="dxa"/>
        <w:tblBorders>
          <w:top w:val="single" w:sz="2" w:space="0" w:color="000001"/>
          <w:left w:val="single" w:sz="2" w:space="0" w:color="000001"/>
          <w:bottom w:val="single" w:sz="12" w:space="0" w:color="000001"/>
          <w:insideH w:val="single" w:sz="12" w:space="0" w:color="000001"/>
        </w:tblBorders>
        <w:tblCellMar>
          <w:top w:w="55" w:type="dxa"/>
          <w:left w:w="48" w:type="dxa"/>
          <w:bottom w:w="55" w:type="dxa"/>
          <w:right w:w="55" w:type="dxa"/>
        </w:tblCellMar>
        <w:tblLook w:val="0000" w:firstRow="0" w:lastRow="0" w:firstColumn="0" w:lastColumn="0" w:noHBand="0" w:noVBand="0"/>
      </w:tblPr>
      <w:tblGrid>
        <w:gridCol w:w="4109"/>
        <w:gridCol w:w="2469"/>
        <w:gridCol w:w="2502"/>
      </w:tblGrid>
      <w:tr w:rsidR="00DD1F74" w:rsidRPr="00A52EF3" w:rsidTr="00DC4C8E">
        <w:tc>
          <w:tcPr>
            <w:tcW w:w="4109" w:type="dxa"/>
            <w:tcBorders>
              <w:top w:val="single" w:sz="2" w:space="0" w:color="000001"/>
              <w:left w:val="single" w:sz="2" w:space="0" w:color="000001"/>
              <w:bottom w:val="single" w:sz="1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lastRenderedPageBreak/>
              <w:t xml:space="preserve">Koszty kwalifikowane  </w:t>
            </w:r>
          </w:p>
        </w:tc>
        <w:tc>
          <w:tcPr>
            <w:tcW w:w="2469" w:type="dxa"/>
            <w:tcBorders>
              <w:top w:val="single" w:sz="2" w:space="0" w:color="000001"/>
              <w:left w:val="single" w:sz="2" w:space="0" w:color="000001"/>
              <w:bottom w:val="single" w:sz="1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Kredyt (% łącznego dofinansowania)</w:t>
            </w:r>
          </w:p>
        </w:tc>
        <w:tc>
          <w:tcPr>
            <w:tcW w:w="2502" w:type="dxa"/>
            <w:tcBorders>
              <w:top w:val="single" w:sz="2" w:space="0" w:color="000001"/>
              <w:left w:val="single" w:sz="2" w:space="0" w:color="000001"/>
              <w:bottom w:val="single" w:sz="1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 xml:space="preserve">Dotacja (% łącznego dofinansowania) </w:t>
            </w:r>
          </w:p>
        </w:tc>
      </w:tr>
      <w:tr w:rsidR="00DD1F74" w:rsidRPr="00A52EF3" w:rsidTr="003B0E10">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i/>
                <w:iCs/>
                <w:sz w:val="24"/>
                <w:szCs w:val="24"/>
                <w:lang w:eastAsia="pl-PL"/>
              </w:rPr>
            </w:pPr>
            <w:r w:rsidRPr="00A52EF3">
              <w:rPr>
                <w:rFonts w:ascii="Times New Roman" w:eastAsia="Times New Roman" w:hAnsi="Times New Roman" w:cs="Times New Roman"/>
                <w:i/>
                <w:iCs/>
                <w:sz w:val="24"/>
                <w:szCs w:val="24"/>
                <w:lang w:eastAsia="pl-PL"/>
              </w:rPr>
              <w:t>Dokumentacja</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Ocena przed i po realizacji przedsięwzięcia oraz dokumentacja projektowa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100 %</w:t>
            </w:r>
          </w:p>
        </w:tc>
      </w:tr>
      <w:tr w:rsidR="00DD1F74" w:rsidRPr="00A52EF3" w:rsidTr="003B0E10">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i/>
                <w:iCs/>
                <w:sz w:val="24"/>
                <w:szCs w:val="24"/>
                <w:lang w:eastAsia="pl-PL"/>
              </w:rPr>
            </w:pPr>
            <w:r w:rsidRPr="00A52EF3">
              <w:rPr>
                <w:rFonts w:ascii="Times New Roman" w:eastAsia="Times New Roman" w:hAnsi="Times New Roman" w:cs="Times New Roman"/>
                <w:i/>
                <w:iCs/>
                <w:sz w:val="24"/>
                <w:szCs w:val="24"/>
                <w:lang w:eastAsia="pl-PL"/>
              </w:rPr>
              <w:t>Inwestycja</w:t>
            </w:r>
          </w:p>
        </w:tc>
      </w:tr>
      <w:tr w:rsidR="00DD1F74" w:rsidRPr="00A52EF3" w:rsidTr="003B0E10">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Grupa I – prace termoizolacyjne</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C4C8E" w:rsidRPr="00A52EF3" w:rsidRDefault="00DC4C8E" w:rsidP="00F25FCA">
            <w:pPr>
              <w:spacing w:line="360" w:lineRule="auto"/>
              <w:jc w:val="center"/>
              <w:rPr>
                <w:rFonts w:ascii="Times New Roman" w:eastAsia="Times New Roman" w:hAnsi="Times New Roman" w:cs="Times New Roman"/>
                <w:sz w:val="2"/>
                <w:szCs w:val="24"/>
                <w:lang w:eastAsia="pl-PL"/>
              </w:rPr>
            </w:pPr>
          </w:p>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Ocieplenie podłogi, Wymiana okien – o ile nie są wykonywane łącznie z innymi elementami Grupy I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100 %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0 %</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C4C8E" w:rsidRPr="00A52EF3" w:rsidRDefault="00DC4C8E" w:rsidP="00F25FCA">
            <w:pPr>
              <w:spacing w:line="360" w:lineRule="auto"/>
              <w:jc w:val="center"/>
              <w:rPr>
                <w:rFonts w:ascii="Times New Roman" w:eastAsia="Times New Roman" w:hAnsi="Times New Roman" w:cs="Times New Roman"/>
                <w:sz w:val="2"/>
                <w:szCs w:val="24"/>
                <w:lang w:eastAsia="pl-PL"/>
              </w:rPr>
            </w:pPr>
          </w:p>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Przedsięwzięcia zawierające co najmniej Ocieplenie ścian  albo Ocieplenie dachu połączone z innymi elementami z Grupy I (podłogi lub wymiana okien), o ile konieczność ich modernizacji wynika z oceny energetycznej budynku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80 %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20 %</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C4C8E" w:rsidRPr="00A52EF3" w:rsidRDefault="00DC4C8E" w:rsidP="00F25FCA">
            <w:pPr>
              <w:spacing w:line="360" w:lineRule="auto"/>
              <w:jc w:val="center"/>
              <w:rPr>
                <w:rFonts w:ascii="Times New Roman" w:eastAsia="Times New Roman" w:hAnsi="Times New Roman" w:cs="Times New Roman"/>
                <w:sz w:val="2"/>
                <w:szCs w:val="24"/>
                <w:lang w:eastAsia="pl-PL"/>
              </w:rPr>
            </w:pPr>
          </w:p>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Przedsięwzięcia zawierające co najmniej łącznie Ocieplenie ścian i Ocieplenie dachu połączone z innymi elementami z Grupy I (podłogi lub wymiana okien), o ile konieczność ich modernizacji wynika z oceny energetycznej budynku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60 %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40 %</w:t>
            </w:r>
          </w:p>
        </w:tc>
      </w:tr>
      <w:tr w:rsidR="00DD1F74" w:rsidRPr="00A52EF3" w:rsidTr="00DC4C8E">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DC4C8E">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lastRenderedPageBreak/>
              <w:t>Grupa II – instalacje wewnętrzne</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Instalacja wentylacji mechanicznej nawiewno-wywiewnej z odzyskiem ciepła, Instalacja wewnętrzna ogrzewania i ciepłej wody użytkowej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80 %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20 %</w:t>
            </w:r>
          </w:p>
        </w:tc>
      </w:tr>
      <w:tr w:rsidR="00DD1F74" w:rsidRPr="00A52EF3" w:rsidTr="003B0E10">
        <w:tc>
          <w:tcPr>
            <w:tcW w:w="9080"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Grupa III – wymiana źródła ciepła, zastosowanie odnawialnych źródeł energii cieplnej</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Kocioł kondensacyjny, Węzeł cieplny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100 %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0 %</w:t>
            </w:r>
          </w:p>
        </w:tc>
      </w:tr>
      <w:tr w:rsidR="00DD1F74" w:rsidRPr="00A52EF3" w:rsidTr="00DC4C8E">
        <w:tc>
          <w:tcPr>
            <w:tcW w:w="410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Kocioł na biomasę, Pompa ciepła, Kolektory słoneczne </w:t>
            </w:r>
          </w:p>
        </w:tc>
        <w:tc>
          <w:tcPr>
            <w:tcW w:w="2469"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80 % </w:t>
            </w:r>
            <w:r w:rsidRPr="00A52EF3">
              <w:rPr>
                <w:rFonts w:ascii="Times New Roman" w:eastAsia="Times New Roman" w:hAnsi="Times New Roman" w:cs="Times New Roman"/>
                <w:sz w:val="24"/>
                <w:szCs w:val="24"/>
                <w:lang w:eastAsia="pl-PL"/>
              </w:rPr>
              <w:br/>
              <w:t xml:space="preserve">(od 2017 r.: 85%) </w:t>
            </w:r>
          </w:p>
        </w:tc>
        <w:tc>
          <w:tcPr>
            <w:tcW w:w="2502"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20 % </w:t>
            </w:r>
            <w:r w:rsidRPr="00A52EF3">
              <w:rPr>
                <w:rFonts w:ascii="Times New Roman" w:eastAsia="Times New Roman" w:hAnsi="Times New Roman" w:cs="Times New Roman"/>
                <w:sz w:val="24"/>
                <w:szCs w:val="24"/>
                <w:lang w:eastAsia="pl-PL"/>
              </w:rPr>
              <w:br/>
              <w:t xml:space="preserve">(od 2017 r.: 15%) </w:t>
            </w:r>
          </w:p>
        </w:tc>
      </w:tr>
    </w:tbl>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WSPIERANIE ROZPROSZONYCH, ODNAWIALNYCH ŹRÓDEŁ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b/>
          <w:bCs/>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t xml:space="preserve">Część 1) BOCIAN – Rozproszone, odnawialne źródła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Przedsiębiorcy w rozumieniu art. 4 ustawy z dnia 2 lipca 2004 r. o swobodzie działalności gospodarczej, podejmujący realizację przedsięwzięć z zakresu odnawialnych źródeł energii na terenie Rzeczypospolitej Polskiej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numPr>
          <w:ilvl w:val="0"/>
          <w:numId w:val="46"/>
        </w:numPr>
        <w:tabs>
          <w:tab w:val="left" w:pos="427"/>
        </w:tabs>
        <w:spacing w:before="115" w:after="0"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Budowa, rozbudowa lub przebudowa instalacji odnawialnych źródeł energii o mocach mieszczących się w następujących przedziałach:</w:t>
      </w:r>
    </w:p>
    <w:p w:rsidR="00DC4C8E" w:rsidRPr="00A52EF3" w:rsidRDefault="00DC4C8E" w:rsidP="00DC4C8E">
      <w:pPr>
        <w:tabs>
          <w:tab w:val="left" w:pos="427"/>
        </w:tabs>
        <w:spacing w:before="115" w:after="0" w:line="360" w:lineRule="auto"/>
        <w:contextualSpacing/>
        <w:jc w:val="both"/>
        <w:rPr>
          <w:rFonts w:ascii="Times New Roman" w:eastAsia="Calibri" w:hAnsi="Times New Roman" w:cs="Times New Roman"/>
          <w:i/>
          <w:iCs/>
          <w:sz w:val="24"/>
          <w:szCs w:val="24"/>
        </w:rPr>
      </w:pPr>
    </w:p>
    <w:p w:rsidR="00DC4C8E" w:rsidRPr="00A52EF3" w:rsidRDefault="00DC4C8E" w:rsidP="00DC4C8E">
      <w:pPr>
        <w:tabs>
          <w:tab w:val="left" w:pos="427"/>
        </w:tabs>
        <w:spacing w:before="115" w:after="0" w:line="360" w:lineRule="auto"/>
        <w:contextualSpacing/>
        <w:jc w:val="both"/>
        <w:rPr>
          <w:rFonts w:ascii="Times New Roman" w:eastAsia="Calibri" w:hAnsi="Times New Roman" w:cs="Times New Roman"/>
          <w:i/>
          <w:iCs/>
          <w:sz w:val="24"/>
          <w:szCs w:val="24"/>
        </w:rPr>
      </w:pPr>
    </w:p>
    <w:p w:rsidR="00DC4C8E" w:rsidRPr="00A52EF3" w:rsidRDefault="00DC4C8E" w:rsidP="00DC4C8E">
      <w:pPr>
        <w:tabs>
          <w:tab w:val="left" w:pos="427"/>
        </w:tabs>
        <w:spacing w:before="115" w:after="0" w:line="360" w:lineRule="auto"/>
        <w:contextualSpacing/>
        <w:jc w:val="both"/>
        <w:rPr>
          <w:rFonts w:ascii="Times New Roman" w:eastAsia="Calibri" w:hAnsi="Times New Roman" w:cs="Times New Roman"/>
          <w:sz w:val="24"/>
          <w:szCs w:val="24"/>
        </w:rPr>
      </w:pPr>
    </w:p>
    <w:p w:rsidR="00DD1F74" w:rsidRPr="00A52EF3" w:rsidRDefault="00DD1F74" w:rsidP="00F25FCA">
      <w:pPr>
        <w:tabs>
          <w:tab w:val="left" w:pos="427"/>
        </w:tabs>
        <w:spacing w:before="115" w:after="0" w:line="360" w:lineRule="auto"/>
        <w:ind w:left="720"/>
        <w:contextualSpacing/>
        <w:jc w:val="both"/>
        <w:rPr>
          <w:rFonts w:ascii="Times New Roman" w:eastAsia="Calibri" w:hAnsi="Times New Roman" w:cs="Times New Roman"/>
          <w:sz w:val="24"/>
          <w:szCs w:val="24"/>
        </w:rPr>
      </w:pPr>
    </w:p>
    <w:tbl>
      <w:tblPr>
        <w:tblW w:w="9080" w:type="dxa"/>
        <w:tblInd w:w="50" w:type="dxa"/>
        <w:tblBorders>
          <w:top w:val="single" w:sz="2" w:space="0" w:color="000001"/>
          <w:left w:val="single" w:sz="2" w:space="0" w:color="000001"/>
          <w:bottom w:val="single" w:sz="12" w:space="0" w:color="000001"/>
          <w:insideH w:val="single" w:sz="12" w:space="0" w:color="000001"/>
        </w:tblBorders>
        <w:tblCellMar>
          <w:top w:w="55" w:type="dxa"/>
          <w:left w:w="48" w:type="dxa"/>
          <w:bottom w:w="55" w:type="dxa"/>
          <w:right w:w="55" w:type="dxa"/>
        </w:tblCellMar>
        <w:tblLook w:val="0000" w:firstRow="0" w:lastRow="0" w:firstColumn="0" w:lastColumn="0" w:noHBand="0" w:noVBand="0"/>
      </w:tblPr>
      <w:tblGrid>
        <w:gridCol w:w="2266"/>
        <w:gridCol w:w="3348"/>
        <w:gridCol w:w="1706"/>
        <w:gridCol w:w="1760"/>
      </w:tblGrid>
      <w:tr w:rsidR="00DD1F74" w:rsidRPr="00A52EF3" w:rsidTr="00DC4C8E">
        <w:tc>
          <w:tcPr>
            <w:tcW w:w="2266" w:type="dxa"/>
            <w:tcBorders>
              <w:top w:val="single" w:sz="2" w:space="0" w:color="000001"/>
              <w:left w:val="single" w:sz="2" w:space="0" w:color="000001"/>
              <w:bottom w:val="single" w:sz="1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lastRenderedPageBreak/>
              <w:t>Lp.</w:t>
            </w:r>
          </w:p>
        </w:tc>
        <w:tc>
          <w:tcPr>
            <w:tcW w:w="3348" w:type="dxa"/>
            <w:tcBorders>
              <w:top w:val="single" w:sz="2" w:space="0" w:color="000001"/>
              <w:left w:val="single" w:sz="2" w:space="0" w:color="000001"/>
              <w:bottom w:val="single" w:sz="1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 xml:space="preserve">Rodzaj przedsięwzięcia </w:t>
            </w:r>
          </w:p>
        </w:tc>
        <w:tc>
          <w:tcPr>
            <w:tcW w:w="1706" w:type="dxa"/>
            <w:tcBorders>
              <w:top w:val="single" w:sz="2" w:space="0" w:color="000001"/>
              <w:left w:val="single" w:sz="2" w:space="0" w:color="000001"/>
              <w:bottom w:val="single" w:sz="1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 xml:space="preserve">Moc minimalna </w:t>
            </w:r>
          </w:p>
        </w:tc>
        <w:tc>
          <w:tcPr>
            <w:tcW w:w="1760" w:type="dxa"/>
            <w:tcBorders>
              <w:top w:val="single" w:sz="2" w:space="0" w:color="000001"/>
              <w:left w:val="single" w:sz="2" w:space="0" w:color="000001"/>
              <w:bottom w:val="single" w:sz="1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b/>
                <w:bCs/>
                <w:sz w:val="24"/>
                <w:szCs w:val="24"/>
                <w:lang w:eastAsia="pl-PL"/>
              </w:rPr>
            </w:pPr>
            <w:r w:rsidRPr="00A52EF3">
              <w:rPr>
                <w:rFonts w:ascii="Times New Roman" w:eastAsia="Times New Roman" w:hAnsi="Times New Roman" w:cs="Times New Roman"/>
                <w:b/>
                <w:bCs/>
                <w:sz w:val="24"/>
                <w:szCs w:val="24"/>
                <w:lang w:eastAsia="pl-PL"/>
              </w:rPr>
              <w:t xml:space="preserve">Moc maksymalna </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elektrownie wiatrowe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3Mwe</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systemy fotowoltaiczne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&gt;40 kWp</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1 MWp</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pozyskiwanie energii z wód geotermalnych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5 MWt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20 MWt</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małe elektrownie wodne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300 kWt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5 MW </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źródła ciepła opalane biomasą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&gt;300 kWt</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20 MWt</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wielkoformatowe kolektory słoneczne wraz z akumulatorem ciepła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(&gt;300 kWt+3M Wt) </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(2 MWt +20 MWt) </w:t>
            </w:r>
          </w:p>
        </w:tc>
      </w:tr>
      <w:tr w:rsidR="00DD1F74" w:rsidRPr="00A52EF3" w:rsidTr="00DC4C8E">
        <w:tc>
          <w:tcPr>
            <w:tcW w:w="2266" w:type="dxa"/>
            <w:vMerge w:val="restart"/>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biogazownie rozumiane jako obiekty wytwarzania energii elektrycznej lub ciepła z wykorzystaniem biogazu rolniczego </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2 Mwe</w:t>
            </w:r>
          </w:p>
        </w:tc>
      </w:tr>
      <w:tr w:rsidR="00DD1F74" w:rsidRPr="00A52EF3" w:rsidTr="00DC4C8E">
        <w:tc>
          <w:tcPr>
            <w:tcW w:w="2266" w:type="dxa"/>
            <w:vMerge/>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p>
        </w:tc>
        <w:tc>
          <w:tcPr>
            <w:tcW w:w="6814"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 xml:space="preserve">instalacje wytwarzania biogazu rolniczego celem wprowadzenia go do sieci gazowej dystrybucyjnej i bezpośredniej </w:t>
            </w:r>
          </w:p>
        </w:tc>
      </w:tr>
      <w:tr w:rsidR="00DD1F74" w:rsidRPr="00A52EF3" w:rsidTr="00DC4C8E">
        <w:tc>
          <w:tcPr>
            <w:tcW w:w="226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numPr>
                <w:ilvl w:val="0"/>
                <w:numId w:val="52"/>
              </w:numPr>
              <w:spacing w:line="360" w:lineRule="auto"/>
              <w:jc w:val="center"/>
              <w:rPr>
                <w:rFonts w:ascii="Times New Roman" w:eastAsia="Times New Roman" w:hAnsi="Times New Roman" w:cs="Times New Roman"/>
                <w:sz w:val="24"/>
                <w:szCs w:val="24"/>
                <w:lang w:eastAsia="pl-PL"/>
              </w:rPr>
            </w:pPr>
          </w:p>
        </w:tc>
        <w:tc>
          <w:tcPr>
            <w:tcW w:w="3348"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wytwarzanie energii elektrycznej w wysokosprawnej kogeneracji na biomasę</w:t>
            </w:r>
          </w:p>
        </w:tc>
        <w:tc>
          <w:tcPr>
            <w:tcW w:w="1706" w:type="dxa"/>
            <w:tcBorders>
              <w:top w:val="single" w:sz="2" w:space="0" w:color="000001"/>
              <w:left w:val="single" w:sz="2" w:space="0" w:color="000001"/>
              <w:bottom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&gt;40 kWe</w:t>
            </w:r>
          </w:p>
        </w:tc>
        <w:tc>
          <w:tcPr>
            <w:tcW w:w="176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DD1F74" w:rsidRPr="00A52EF3" w:rsidRDefault="00DD1F74" w:rsidP="00F25FCA">
            <w:pPr>
              <w:spacing w:line="360" w:lineRule="auto"/>
              <w:jc w:val="center"/>
              <w:rPr>
                <w:rFonts w:ascii="Times New Roman" w:eastAsia="Times New Roman" w:hAnsi="Times New Roman" w:cs="Times New Roman"/>
                <w:sz w:val="24"/>
                <w:szCs w:val="24"/>
                <w:lang w:eastAsia="pl-PL"/>
              </w:rPr>
            </w:pPr>
            <w:r w:rsidRPr="00A52EF3">
              <w:rPr>
                <w:rFonts w:ascii="Times New Roman" w:eastAsia="Times New Roman" w:hAnsi="Times New Roman" w:cs="Times New Roman"/>
                <w:sz w:val="24"/>
                <w:szCs w:val="24"/>
                <w:lang w:eastAsia="pl-PL"/>
              </w:rPr>
              <w:t>5 Mwe</w:t>
            </w:r>
          </w:p>
        </w:tc>
      </w:tr>
    </w:tbl>
    <w:p w:rsidR="00DC4C8E" w:rsidRPr="00A52EF3" w:rsidRDefault="00DC4C8E" w:rsidP="00F25FCA">
      <w:pPr>
        <w:tabs>
          <w:tab w:val="left" w:pos="427"/>
        </w:tabs>
        <w:spacing w:before="115" w:after="0" w:line="360" w:lineRule="auto"/>
        <w:jc w:val="both"/>
        <w:rPr>
          <w:rFonts w:ascii="Times New Roman" w:eastAsia="Calibri" w:hAnsi="Times New Roman" w:cs="Times New Roman"/>
          <w:i/>
          <w:iCs/>
          <w:sz w:val="24"/>
          <w:szCs w:val="24"/>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lastRenderedPageBreak/>
        <w:t>2) w ramach programu mogą być realizowane instalacje hybrydowe, przy czym moc każdego rodzaju przedsięwzięcia musi spełnić warunki określone w pkt. 1).</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W ramach programu mogą być dodatkowo wspierane systemy magazynowania energii towarzyszące inwestycjom OZE o mocach nie większych niż 10-krotność mocy zainstalowanej dla każdego ze źródeł OZE, w szczególności: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magazyny ciepła,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magazyny energii elektrycznej.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Program realizowany będzie w latach 2015 – 2023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Okres kwalifikowalności kosztów od 01.01.2015 r. do 31.12.2023 r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Formy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Pożyczka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Dofinansowanie w formie pożyczki do 85 % kosztów kwalifikowanych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rPr>
      </w:pP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b/>
          <w:bCs/>
          <w:i/>
          <w:iCs/>
          <w:sz w:val="24"/>
          <w:szCs w:val="24"/>
        </w:rPr>
        <w:t xml:space="preserve">Część 2) Prosument – linia dofinansowania z przeznaczeniem na zakup i montaż mikroinstalacji odnawialnych źródeł energii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Beneficjenci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Beneficjentem programu są wojewódzkie fundusze ochrony środowiska i gospodarki wodnej.</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 Beneficjentem końcowym programu są: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osoby fizyczne posiadające prawo do dysponowania budynkiem mieszkalnym;</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wspólnoty mieszkaniowe;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3) spółdzielnie mieszkaniowe;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4) jednostki samorządu terytorialnego lub ich związki lub ich stowarzyszenia;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5) spółki prawa handlowego, w których jednostki samorządu terytorialnego posiadają 100% udziałów albo akcji i które powołane są do realizacji zadań własnych j.s.t. wskazanych </w:t>
      </w:r>
      <w:r w:rsidRPr="00A52EF3">
        <w:rPr>
          <w:rFonts w:ascii="Times New Roman" w:eastAsia="Calibri" w:hAnsi="Times New Roman" w:cs="Times New Roman"/>
          <w:i/>
          <w:iCs/>
          <w:sz w:val="24"/>
          <w:szCs w:val="24"/>
        </w:rPr>
        <w:br/>
        <w:t>w ustawach.</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lastRenderedPageBreak/>
        <w:t xml:space="preserve">Przez „dysponowanie” nieruchomością należy rozumieć: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prawo własności (w tym współwłasność),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użytkowanie wieczyste,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c) spółdzielcze własnościowe prawo do domu jednorodzinnego.</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Rodzaje przedsięwzięć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przedsięwzięcia polegające na zakupie i montażu małych instalacji lub mikroinstalacji następujących odnawialnych źródeł do produkcji energii elektrycznej lub ciepła:</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źródła ciepła opalane biomasą – o zainstalowanej mocy cieplnej do 300 kWt,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pompy ciepła – o zainstalowanej mocy cieplnej do 300 kWt,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c) kolektory słoneczne – o zainstalowanej mocy cieplnej do 300 kWt,</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 systemy fotowoltaiczne – o zainstalowanej mocy elektrycznej do 40 kWp,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e) małe elektrownie wiatrowe – o zainstalowanej mocy elektrycznej do 40 kWe,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f) mikrokogeneracja – o zainstalowanej mocy elektrycznej do 40 kWe, służących na potrzeby istniejących lub będących w budowie budynków mieszkalnych;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przedsięwzięcia polegające na zakupie i montażu instalacji równolegle wykorzystującej więcej niż jedno odnawialne źródło energii elektrycznej lub ciepła, wymienione w pkt 1, przeznaczonej dla jednego budynku mieszkalnego, o ile jest to technicznie i ekonomicznie uzasadnione;</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3) w przypadku instalacji wymienionych w pkt. 1) o mocy 0-10 Kw służących do produkcji energii elektrycznej, podłączanych do sieci dystrybucyjnej, w których wytworzenie energii elektrycznej i po raz pierwszy wprowadzenie do sieci nastąpi po 01/01/2016, osoba fizyczna, wspólnota mieszkaniowa lub spółdzielnia mieszkaniowa nie będzie korzystała ze stałych cen jednostkowych, o których mowa w </w:t>
      </w:r>
      <w:r w:rsidRPr="00A52EF3">
        <w:rPr>
          <w:rFonts w:ascii="Times New Roman" w:eastAsia="Calibri" w:hAnsi="Times New Roman" w:cs="Times New Roman"/>
          <w:i/>
          <w:iCs/>
          <w:sz w:val="24"/>
          <w:szCs w:val="24"/>
        </w:rPr>
        <w:pgNum/>
      </w:r>
      <w:r w:rsidRPr="00A52EF3">
        <w:rPr>
          <w:rFonts w:ascii="Times New Roman" w:eastAsia="Calibri" w:hAnsi="Times New Roman" w:cs="Times New Roman"/>
          <w:i/>
          <w:iCs/>
          <w:sz w:val="24"/>
          <w:szCs w:val="24"/>
        </w:rPr>
        <w:t>sy. 41 ust. 10 i 15 Ustawy o odnawialnych źródłach energii z dnia 20 lutego 2015 r. (Dz.U. 2015 poz. 478).</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4) przez budynek mieszkalny (w tym wielorodzinny) należy rozumieć, istniejący lub będący w budowie, budynek wolnostojący albo samodzielną część domu bliźniaczego albo </w:t>
      </w:r>
      <w:r w:rsidRPr="00A52EF3">
        <w:rPr>
          <w:rFonts w:ascii="Times New Roman" w:eastAsia="Calibri" w:hAnsi="Times New Roman" w:cs="Times New Roman"/>
          <w:i/>
          <w:iCs/>
          <w:sz w:val="24"/>
          <w:szCs w:val="24"/>
        </w:rPr>
        <w:lastRenderedPageBreak/>
        <w:t>szeregowego, przeznaczony i wykorzystywany na cele mieszkaniowe co najmniej w połowie powierzchni całkowitej;</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5) w przypadku beneficjentów końcowych wskazanych w pkt. 4 – 5, odpowiedzialność za wybór osób fizycznych posiadających prawo do dysponowania budynkiem mieszkalnym, wspólnot mieszkaniowych lub spółdzielni mieszkaniowych ponoszą wyżej wymienieni beneficjenci końcowi. Wybór odbywać się będzie na podstawie obiektywnych, gwarantujących osiągnięcie efektu ekologicznego, zapewniających równe traktowanie kryteriów doboru. Za stworzenie kryteriów, o których mowa w zdaniu poprzedzającym, odpowiedzialny jest beneficjent końcowy wskazany w pkt.4 – 5.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Program realizowany będzie w latach 2015 – 2022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Okres kwalifikowalności kosztów od 01.01.2015 r. do 31.12.2022 r.</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Formy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1) środki udostępnione WFOŚiGW z przeznaczeniem na udzielanie pożyczek;</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2) środki udostępnione WFOŚiGW z przeznaczeniem na udzielanie dotacji.</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Dofinansowanie w formie pożyczki wraz z dotacją łącznie do 100% kosztów kwalifikowanych instalacji wchodzących w skład przedsięwzięcia, w tym w formie dotacji: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a) do 15% dofinansowania dla instalacji do produkcji ciepła, a w okresie lat 2015 – 2016 do 20% dofinansowania, </w:t>
      </w:r>
    </w:p>
    <w:p w:rsidR="00DD1F74" w:rsidRPr="00A52EF3" w:rsidRDefault="00DD1F74" w:rsidP="00F25FCA">
      <w:pPr>
        <w:tabs>
          <w:tab w:val="left" w:pos="427"/>
        </w:tabs>
        <w:spacing w:before="115"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i/>
          <w:iCs/>
          <w:sz w:val="24"/>
          <w:szCs w:val="24"/>
        </w:rPr>
        <w:t xml:space="preserve">b) do 30% dofinansowania dla instalacji do produkcji energii elektrycznej, a w okresie lat 2015 – 2016 do 40% dofinansowania; </w:t>
      </w:r>
    </w:p>
    <w:p w:rsidR="00DD1F74" w:rsidRPr="00A52EF3" w:rsidRDefault="00DD1F74" w:rsidP="00F25FCA">
      <w:pPr>
        <w:autoSpaceDE w:val="0"/>
        <w:autoSpaceDN w:val="0"/>
        <w:adjustRightInd w:val="0"/>
        <w:spacing w:before="240" w:after="0" w:line="360" w:lineRule="auto"/>
        <w:jc w:val="both"/>
        <w:rPr>
          <w:rFonts w:ascii="Times New Roman" w:eastAsia="Calibri" w:hAnsi="Times New Roman" w:cs="Times New Roman"/>
          <w:sz w:val="24"/>
          <w:szCs w:val="24"/>
        </w:rPr>
      </w:pPr>
    </w:p>
    <w:p w:rsidR="00DD1F74" w:rsidRPr="00A52EF3" w:rsidRDefault="00DD1F74" w:rsidP="00F25FCA">
      <w:pPr>
        <w:numPr>
          <w:ilvl w:val="0"/>
          <w:numId w:val="53"/>
        </w:numPr>
        <w:spacing w:before="240" w:after="0" w:line="360" w:lineRule="auto"/>
        <w:jc w:val="both"/>
        <w:rPr>
          <w:rFonts w:ascii="Times New Roman" w:eastAsia="Calibri" w:hAnsi="Times New Roman" w:cs="Times New Roman"/>
          <w:b/>
        </w:rPr>
      </w:pPr>
      <w:r w:rsidRPr="00A52EF3">
        <w:rPr>
          <w:rFonts w:ascii="Times New Roman" w:eastAsia="Calibri" w:hAnsi="Times New Roman" w:cs="Times New Roman"/>
          <w:b/>
          <w:sz w:val="24"/>
          <w:szCs w:val="24"/>
        </w:rPr>
        <w:t>Program Operacyjny Infrastruktura i Środowisko 2014-2020</w:t>
      </w:r>
    </w:p>
    <w:p w:rsidR="00DD1F74" w:rsidRPr="00A52EF3" w:rsidRDefault="00DD1F74" w:rsidP="00F25FCA">
      <w:pPr>
        <w:spacing w:before="240" w:after="0" w:line="360" w:lineRule="auto"/>
        <w:ind w:firstLine="360"/>
        <w:jc w:val="both"/>
        <w:rPr>
          <w:rFonts w:ascii="Times New Roman" w:eastAsia="Calibri" w:hAnsi="Times New Roman" w:cs="Times New Roman"/>
        </w:rPr>
      </w:pPr>
      <w:r w:rsidRPr="00A52EF3">
        <w:rPr>
          <w:rFonts w:ascii="Times New Roman" w:eastAsia="Calibri" w:hAnsi="Times New Roman" w:cs="Times New Roman"/>
          <w:sz w:val="24"/>
          <w:szCs w:val="24"/>
        </w:rPr>
        <w:t>Program Operacyjny Infrastruktura i Środowisko przy wykorzystaniu środków Funduszu Spójności i Europejskiego Funduszu Rozwoju Regionalnego.  Stanowi podstawowe narzędzie do finansowania zadań z zakresu ochrony środowiska, a zarazem ochrony powietrza w latach 2014-2020.</w:t>
      </w:r>
    </w:p>
    <w:p w:rsidR="00DD1F74" w:rsidRPr="00A52EF3" w:rsidRDefault="00DD1F74" w:rsidP="00F25FCA">
      <w:pPr>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Cs w:val="24"/>
        </w:rPr>
        <w:lastRenderedPageBreak/>
        <w:tab/>
      </w:r>
      <w:r w:rsidRPr="00A52EF3">
        <w:rPr>
          <w:rFonts w:ascii="Times New Roman" w:eastAsia="Calibri" w:hAnsi="Times New Roman" w:cs="Times New Roman"/>
          <w:sz w:val="24"/>
          <w:szCs w:val="24"/>
        </w:rPr>
        <w:t>Celem głównym programu jest wsparcie gospodarki efektywnie korzystającej</w:t>
      </w:r>
      <w:r w:rsidRPr="00A52EF3">
        <w:rPr>
          <w:rFonts w:ascii="Times New Roman" w:eastAsia="Calibri" w:hAnsi="Times New Roman" w:cs="Times New Roman"/>
          <w:sz w:val="24"/>
          <w:szCs w:val="24"/>
        </w:rPr>
        <w:br/>
        <w:t>z zasobów i przyjaznej środowisku oraz sprzyjającej spójności terytorialnej i społecznej</w:t>
      </w:r>
    </w:p>
    <w:p w:rsidR="00DD1F74" w:rsidRPr="00A52EF3" w:rsidRDefault="00DD1F74" w:rsidP="00F25FCA">
      <w:pPr>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 xml:space="preserve">Cel główny POIŚ wynika z jednego z trzech priorytetów Strategii Europa 2020, którym jest wzrost zrównoważony rozumiany jako wspieranie gospodarki efektywniej korzystającej z zasobów, bardziej przyjaznej środowisku i bardziej konkurencyjnej, w której cele środowiskowe są dopełnione działaniami na rzecz spójności gospodarczej, społecznej </w:t>
      </w:r>
      <w:r w:rsidRPr="00A52EF3">
        <w:rPr>
          <w:rFonts w:ascii="Times New Roman" w:eastAsia="Calibri" w:hAnsi="Times New Roman" w:cs="Times New Roman"/>
          <w:sz w:val="24"/>
          <w:szCs w:val="24"/>
        </w:rPr>
        <w:br/>
        <w:t>i terytorialnej. Priorytet ten został oparty na równowadze oraz wzajemnym uzupełnianiu się działań w trzech podstawowych obszarach:</w:t>
      </w:r>
    </w:p>
    <w:p w:rsidR="00DD1F74" w:rsidRPr="00A52EF3" w:rsidRDefault="00DD1F74" w:rsidP="00F25FCA">
      <w:pPr>
        <w:numPr>
          <w:ilvl w:val="0"/>
          <w:numId w:val="54"/>
        </w:numPr>
        <w:spacing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czystej i efektywnej energii, w tym efektywności energetycznej, ograniczeniu emisji gazów cieplarnianych, rozwoju energii ze źródeł odnawialnych oraz integracji i poprawy funkcjonowania europejskiego rynku energii;</w:t>
      </w:r>
    </w:p>
    <w:p w:rsidR="00DD1F74" w:rsidRPr="00A52EF3" w:rsidRDefault="00DD1F74" w:rsidP="00F25FCA">
      <w:pPr>
        <w:numPr>
          <w:ilvl w:val="0"/>
          <w:numId w:val="54"/>
        </w:numPr>
        <w:spacing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adaptacji do zmian klimatu oraz efektywnego korzystania z zasobów, wzmocnieniu odporności systemów gospodarczych na zagrożenia związane z klimatem oraz zwiększeniu możliwości zapobiegania zagrożeniom (zwłaszcza zagrożeniom naturalnym) i reagowania na nie;</w:t>
      </w:r>
    </w:p>
    <w:p w:rsidR="00DD1F74" w:rsidRPr="00A52EF3" w:rsidRDefault="00DD1F74" w:rsidP="00F25FCA">
      <w:pPr>
        <w:numPr>
          <w:ilvl w:val="0"/>
          <w:numId w:val="54"/>
        </w:numPr>
        <w:spacing w:line="360" w:lineRule="auto"/>
        <w:contextualSpacing/>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rsidR="00DD1F74" w:rsidRPr="00A52EF3" w:rsidRDefault="00DD1F74" w:rsidP="00F25FCA">
      <w:pPr>
        <w:spacing w:line="360" w:lineRule="auto"/>
        <w:ind w:left="720"/>
        <w:contextualSpacing/>
        <w:jc w:val="both"/>
        <w:rPr>
          <w:rFonts w:ascii="Times New Roman" w:eastAsia="Calibri" w:hAnsi="Times New Roman" w:cs="Times New Roman"/>
          <w:sz w:val="24"/>
          <w:szCs w:val="24"/>
        </w:rPr>
      </w:pPr>
    </w:p>
    <w:p w:rsidR="00DD1F74" w:rsidRPr="00A52EF3" w:rsidRDefault="00DD1F74" w:rsidP="00F25FCA">
      <w:pPr>
        <w:spacing w:before="240"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 xml:space="preserve">Dotychczasowe działania podejmowane w Polsce (również dzięki interwencji Polityki Spójności) pozwoliły zbliżyć się do celu, jakim jest zrównoważony rozwój, niemniej </w:t>
      </w:r>
      <w:r w:rsidRPr="00A52EF3">
        <w:rPr>
          <w:rFonts w:ascii="Times New Roman" w:eastAsia="Calibri" w:hAnsi="Times New Roman" w:cs="Times New Roman"/>
          <w:sz w:val="24"/>
          <w:szCs w:val="24"/>
        </w:rPr>
        <w:br/>
        <w:t>w dalszym ciągu stanowi on poważne wyzwanie dla kraju, zwłaszcza na tle całej UE. Polska jest zobowiązana podjąć to wyzwanie, jej zadaniem pozostaje właściwa diagnoza potrzeb oraz określenie niezbędnych działań i przedsięwzięć.</w:t>
      </w:r>
    </w:p>
    <w:p w:rsidR="00DD1F74" w:rsidRPr="00A52EF3" w:rsidRDefault="00DD1F74" w:rsidP="00F25FCA">
      <w:pPr>
        <w:spacing w:before="240" w:after="0" w:line="360" w:lineRule="auto"/>
        <w:jc w:val="both"/>
        <w:rPr>
          <w:rFonts w:ascii="Times New Roman" w:eastAsia="Calibri" w:hAnsi="Times New Roman" w:cs="Times New Roman"/>
          <w:sz w:val="24"/>
          <w:szCs w:val="24"/>
        </w:rPr>
      </w:pPr>
    </w:p>
    <w:p w:rsidR="00DC4C8E"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r>
    </w:p>
    <w:p w:rsidR="00DC4C8E" w:rsidRPr="00A52EF3" w:rsidRDefault="00DC4C8E" w:rsidP="00F25FCA">
      <w:pPr>
        <w:spacing w:line="360" w:lineRule="auto"/>
        <w:jc w:val="both"/>
        <w:rPr>
          <w:rFonts w:ascii="Times New Roman" w:eastAsia="Calibri" w:hAnsi="Times New Roman" w:cs="Times New Roman"/>
          <w:sz w:val="24"/>
          <w:szCs w:val="24"/>
        </w:rPr>
      </w:pPr>
    </w:p>
    <w:p w:rsidR="00DC4C8E" w:rsidRPr="00A52EF3" w:rsidRDefault="00DD1F74" w:rsidP="00DC4C8E">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lastRenderedPageBreak/>
        <w:t>Program Operacyjny Infrastruktura i Środowisko odbywa się w</w:t>
      </w:r>
      <w:r w:rsidR="00DC4C8E" w:rsidRPr="00A52EF3">
        <w:rPr>
          <w:rFonts w:ascii="Times New Roman" w:eastAsia="Calibri" w:hAnsi="Times New Roman" w:cs="Times New Roman"/>
          <w:sz w:val="24"/>
          <w:szCs w:val="24"/>
        </w:rPr>
        <w:t xml:space="preserve"> ramach 10 osi priorytetowych: </w:t>
      </w:r>
    </w:p>
    <w:p w:rsidR="00DD1F74" w:rsidRPr="00A52EF3" w:rsidRDefault="00DD1F74" w:rsidP="00F25FCA">
      <w:pPr>
        <w:spacing w:after="58"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 xml:space="preserve">OŚ PRIORYTETOWA I: ZMNIEJSZENIE EMISYJNOŚCI GOSPODARKI </w:t>
      </w:r>
    </w:p>
    <w:p w:rsidR="00DD1F74" w:rsidRPr="00A52EF3" w:rsidRDefault="00DD1F74" w:rsidP="00F25FCA">
      <w:pPr>
        <w:spacing w:after="58" w:line="360" w:lineRule="auto"/>
        <w:jc w:val="both"/>
        <w:rPr>
          <w:rFonts w:ascii="Times New Roman" w:eastAsia="Calibri" w:hAnsi="Times New Roman" w:cs="Times New Roman"/>
          <w:sz w:val="24"/>
          <w:szCs w:val="24"/>
        </w:rPr>
      </w:pPr>
    </w:p>
    <w:p w:rsidR="00DD1F74" w:rsidRPr="00A52EF3" w:rsidRDefault="00DD1F74" w:rsidP="00F25FCA">
      <w:pPr>
        <w:autoSpaceDE w:val="0"/>
        <w:autoSpaceDN w:val="0"/>
        <w:adjustRightInd w:val="0"/>
        <w:spacing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ab/>
        <w:t>Poniżej przedstawiono projekty inwestycyjne zawarte w POIŚ związane m.in.</w:t>
      </w:r>
      <w:r w:rsidRPr="00A52EF3">
        <w:rPr>
          <w:rFonts w:ascii="Times New Roman" w:eastAsia="Calibri" w:hAnsi="Times New Roman" w:cs="Times New Roman"/>
          <w:sz w:val="24"/>
          <w:szCs w:val="24"/>
        </w:rPr>
        <w:br/>
        <w:t>z redukcją emisji gazów cieplarnianych (CO</w:t>
      </w:r>
      <w:r w:rsidRPr="00A52EF3">
        <w:rPr>
          <w:rFonts w:ascii="Times New Roman" w:eastAsia="Calibri" w:hAnsi="Times New Roman" w:cs="Times New Roman"/>
          <w:sz w:val="24"/>
          <w:szCs w:val="24"/>
          <w:vertAlign w:val="subscript"/>
        </w:rPr>
        <w:t>2</w:t>
      </w:r>
      <w:r w:rsidRPr="00A52EF3">
        <w:rPr>
          <w:rFonts w:ascii="Times New Roman" w:eastAsia="Calibri" w:hAnsi="Times New Roman" w:cs="Times New Roman"/>
          <w:sz w:val="24"/>
          <w:szCs w:val="24"/>
        </w:rPr>
        <w:t xml:space="preserve">), zwiększaniem udziału energii pochodzącej </w:t>
      </w:r>
      <w:r w:rsidRPr="00A52EF3">
        <w:rPr>
          <w:rFonts w:ascii="Times New Roman" w:eastAsia="Calibri" w:hAnsi="Times New Roman" w:cs="Times New Roman"/>
          <w:sz w:val="24"/>
          <w:szCs w:val="24"/>
        </w:rPr>
        <w:br/>
        <w:t xml:space="preserve">ze źródeł odnawialnych, redukcją zużycia energii finalnej i podnoszeniem efektywności energetycznej </w:t>
      </w:r>
    </w:p>
    <w:p w:rsidR="007A3059" w:rsidRPr="00A52EF3" w:rsidRDefault="007A3059" w:rsidP="00F25FCA">
      <w:pPr>
        <w:autoSpaceDE w:val="0"/>
        <w:autoSpaceDN w:val="0"/>
        <w:adjustRightInd w:val="0"/>
        <w:spacing w:after="0" w:line="360" w:lineRule="auto"/>
        <w:jc w:val="both"/>
        <w:rPr>
          <w:rFonts w:ascii="Times New Roman" w:eastAsia="Calibri" w:hAnsi="Times New Roman" w:cs="Times New Roman"/>
          <w:sz w:val="24"/>
          <w:szCs w:val="24"/>
        </w:rPr>
      </w:pPr>
    </w:p>
    <w:p w:rsidR="00DD1F74" w:rsidRPr="00A52EF3" w:rsidRDefault="00DD1F74" w:rsidP="00F25FCA">
      <w:pPr>
        <w:autoSpaceDE w:val="0"/>
        <w:autoSpaceDN w:val="0"/>
        <w:adjustRightInd w:val="0"/>
        <w:spacing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OŚ I</w:t>
      </w:r>
    </w:p>
    <w:p w:rsidR="00DD1F74" w:rsidRPr="00A52EF3" w:rsidRDefault="00DD1F74" w:rsidP="00F25FCA">
      <w:pPr>
        <w:spacing w:after="0"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4.1. Wspieranie wytwarzania i dystrybucji energii pochodzącej ze źródeł odnawialnych;</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4.2. Promowanie efektywności energetycznej i korzystania z odnawialnych źródeł energii</w:t>
      </w:r>
      <w:r w:rsidRPr="00A52EF3">
        <w:rPr>
          <w:rFonts w:ascii="Times New Roman" w:eastAsia="Calibri" w:hAnsi="Times New Roman" w:cs="Times New Roman"/>
          <w:sz w:val="24"/>
          <w:szCs w:val="24"/>
        </w:rPr>
        <w:br/>
        <w:t>w przedsiębiorstwach ;</w:t>
      </w:r>
    </w:p>
    <w:p w:rsidR="00DD1F74" w:rsidRPr="00A52EF3" w:rsidRDefault="00DD1F74" w:rsidP="00F25FCA">
      <w:pPr>
        <w:spacing w:line="360" w:lineRule="auto"/>
        <w:jc w:val="both"/>
        <w:rPr>
          <w:rFonts w:ascii="Times New Roman" w:eastAsia="Calibri" w:hAnsi="Times New Roman" w:cs="Times New Roman"/>
          <w:sz w:val="24"/>
          <w:szCs w:val="24"/>
        </w:rPr>
      </w:pPr>
      <w:r w:rsidRPr="00A52EF3">
        <w:rPr>
          <w:rFonts w:ascii="Times New Roman" w:eastAsia="Calibri" w:hAnsi="Times New Roman" w:cs="Times New Roman"/>
          <w:sz w:val="24"/>
          <w:szCs w:val="24"/>
        </w:rPr>
        <w:t>4.3. Wspieranie efektywności energetycznej, inteligentnego zarządzania energią</w:t>
      </w:r>
      <w:r w:rsidRPr="00A52EF3">
        <w:rPr>
          <w:rFonts w:ascii="Times New Roman" w:eastAsia="Calibri" w:hAnsi="Times New Roman" w:cs="Times New Roman"/>
          <w:sz w:val="24"/>
          <w:szCs w:val="24"/>
        </w:rPr>
        <w:br/>
        <w:t>i wykorzystania odnawialnych źródeł energii w infrastrukturze publicznej, w tym</w:t>
      </w:r>
      <w:r w:rsidRPr="00A52EF3">
        <w:rPr>
          <w:rFonts w:ascii="Times New Roman" w:eastAsia="Calibri" w:hAnsi="Times New Roman" w:cs="Times New Roman"/>
          <w:sz w:val="24"/>
          <w:szCs w:val="24"/>
        </w:rPr>
        <w:br/>
        <w:t>w budynkach publicznych, i w sektorze mieszkaniowym;</w:t>
      </w:r>
    </w:p>
    <w:p w:rsidR="007A3059" w:rsidRPr="00A52EF3" w:rsidRDefault="007A3059" w:rsidP="00F25FCA">
      <w:pPr>
        <w:spacing w:line="360" w:lineRule="auto"/>
        <w:jc w:val="both"/>
        <w:rPr>
          <w:rFonts w:ascii="Times New Roman" w:eastAsia="Calibri" w:hAnsi="Times New Roman" w:cs="Times New Roman"/>
          <w:sz w:val="24"/>
          <w:szCs w:val="24"/>
        </w:rPr>
      </w:pPr>
    </w:p>
    <w:p w:rsidR="00DD1F74" w:rsidRPr="00A52EF3" w:rsidRDefault="00DD1F74" w:rsidP="00F25FCA">
      <w:pPr>
        <w:pStyle w:val="Default"/>
        <w:widowControl w:val="0"/>
        <w:numPr>
          <w:ilvl w:val="0"/>
          <w:numId w:val="53"/>
        </w:numPr>
        <w:autoSpaceDE/>
        <w:autoSpaceDN/>
        <w:adjustRightInd/>
        <w:spacing w:after="200" w:line="360" w:lineRule="auto"/>
        <w:jc w:val="both"/>
        <w:rPr>
          <w:b/>
          <w:color w:val="auto"/>
        </w:rPr>
      </w:pPr>
      <w:r w:rsidRPr="00A52EF3">
        <w:rPr>
          <w:b/>
          <w:color w:val="auto"/>
        </w:rPr>
        <w:t>Regionalny Program Operacyjny Województwa Świę</w:t>
      </w:r>
      <w:r w:rsidR="000F491C" w:rsidRPr="00A52EF3">
        <w:rPr>
          <w:b/>
          <w:color w:val="auto"/>
        </w:rPr>
        <w:t xml:space="preserve">tokrzyskiego na lata </w:t>
      </w:r>
      <w:r w:rsidR="000F491C" w:rsidRPr="00A52EF3">
        <w:rPr>
          <w:b/>
          <w:color w:val="auto"/>
        </w:rPr>
        <w:br/>
        <w:t>2014-2020</w:t>
      </w:r>
    </w:p>
    <w:p w:rsidR="0088754C" w:rsidRPr="00A52EF3" w:rsidRDefault="0088754C" w:rsidP="00F25FCA">
      <w:pPr>
        <w:pStyle w:val="Default"/>
        <w:widowControl w:val="0"/>
        <w:autoSpaceDE/>
        <w:autoSpaceDN/>
        <w:adjustRightInd/>
        <w:spacing w:after="200" w:line="360" w:lineRule="auto"/>
        <w:jc w:val="both"/>
        <w:rPr>
          <w:color w:val="auto"/>
        </w:rPr>
      </w:pPr>
      <w:r w:rsidRPr="00A52EF3">
        <w:rPr>
          <w:color w:val="auto"/>
        </w:rPr>
        <w:t>Dokument uwzględnia następujące osie priorytetowe:</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Innowacja i nauka</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Konkurencyjna gospodarka</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Efektywna i zielona energia</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Dziedzictwo naturalne i kulturowe</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Nowoczesna komunikacja</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Rozwój miast</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lastRenderedPageBreak/>
        <w:t>Sprawne usługi publiczne</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Rozwój edukacji i aktywne społeczeństwo</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Włączenie społeczne i walka z ubóstwem</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Otwarty rynek pracy</w:t>
      </w:r>
    </w:p>
    <w:p w:rsidR="0088754C" w:rsidRPr="00A52EF3" w:rsidRDefault="0088754C" w:rsidP="00DC4C8E">
      <w:pPr>
        <w:pStyle w:val="Default"/>
        <w:widowControl w:val="0"/>
        <w:numPr>
          <w:ilvl w:val="0"/>
          <w:numId w:val="81"/>
        </w:numPr>
        <w:autoSpaceDE/>
        <w:autoSpaceDN/>
        <w:adjustRightInd/>
        <w:spacing w:after="120" w:line="360" w:lineRule="auto"/>
        <w:ind w:left="714" w:hanging="357"/>
        <w:jc w:val="both"/>
        <w:rPr>
          <w:color w:val="auto"/>
        </w:rPr>
      </w:pPr>
      <w:r w:rsidRPr="00A52EF3">
        <w:rPr>
          <w:color w:val="auto"/>
        </w:rPr>
        <w:t>Pomoc techniczna</w:t>
      </w:r>
    </w:p>
    <w:p w:rsidR="0088754C" w:rsidRPr="00A52EF3" w:rsidRDefault="0088754C" w:rsidP="00F25FCA">
      <w:pPr>
        <w:pStyle w:val="Default"/>
        <w:widowControl w:val="0"/>
        <w:autoSpaceDE/>
        <w:autoSpaceDN/>
        <w:adjustRightInd/>
        <w:spacing w:after="200" w:line="360" w:lineRule="auto"/>
        <w:jc w:val="both"/>
        <w:rPr>
          <w:color w:val="auto"/>
        </w:rPr>
      </w:pPr>
    </w:p>
    <w:p w:rsidR="0088754C" w:rsidRPr="00A52EF3" w:rsidRDefault="0088754C" w:rsidP="00F25FCA">
      <w:pPr>
        <w:pStyle w:val="Default"/>
        <w:widowControl w:val="0"/>
        <w:autoSpaceDE/>
        <w:autoSpaceDN/>
        <w:adjustRightInd/>
        <w:spacing w:after="200" w:line="360" w:lineRule="auto"/>
        <w:jc w:val="both"/>
        <w:rPr>
          <w:color w:val="auto"/>
        </w:rPr>
      </w:pPr>
      <w:r w:rsidRPr="00A52EF3">
        <w:rPr>
          <w:color w:val="auto"/>
        </w:rPr>
        <w:t>W przypadku Planu Gospodarki Niskoemisyjnej istotna jest oś 3 Efektywna i zielona energia, która zawiera następujące priorytety inwestycyjne:</w:t>
      </w:r>
    </w:p>
    <w:p w:rsidR="0088754C" w:rsidRPr="00A52EF3" w:rsidRDefault="0088754C" w:rsidP="00F25FCA">
      <w:pPr>
        <w:pStyle w:val="Default"/>
        <w:widowControl w:val="0"/>
        <w:numPr>
          <w:ilvl w:val="0"/>
          <w:numId w:val="82"/>
        </w:numPr>
        <w:autoSpaceDE/>
        <w:autoSpaceDN/>
        <w:adjustRightInd/>
        <w:spacing w:after="200" w:line="360" w:lineRule="auto"/>
        <w:jc w:val="both"/>
        <w:rPr>
          <w:color w:val="auto"/>
        </w:rPr>
      </w:pPr>
      <w:r w:rsidRPr="00A52EF3">
        <w:rPr>
          <w:color w:val="auto"/>
        </w:rPr>
        <w:t>Wspieranie wytwarzania i dystrybucji energii pochodzącej ze źródeł odnawialnych</w:t>
      </w:r>
    </w:p>
    <w:p w:rsidR="0088754C" w:rsidRPr="00A52EF3" w:rsidRDefault="0088754C" w:rsidP="00F25FCA">
      <w:pPr>
        <w:pStyle w:val="Default"/>
        <w:widowControl w:val="0"/>
        <w:numPr>
          <w:ilvl w:val="0"/>
          <w:numId w:val="82"/>
        </w:numPr>
        <w:autoSpaceDE/>
        <w:autoSpaceDN/>
        <w:adjustRightInd/>
        <w:spacing w:after="200" w:line="360" w:lineRule="auto"/>
        <w:jc w:val="both"/>
        <w:rPr>
          <w:color w:val="auto"/>
        </w:rPr>
      </w:pPr>
      <w:r w:rsidRPr="00A52EF3">
        <w:rPr>
          <w:color w:val="auto"/>
        </w:rPr>
        <w:t>Promowanie efektywności energetycznej i korzystania z odnawialnych źródeł energii w przedsiębiorstwach</w:t>
      </w:r>
    </w:p>
    <w:p w:rsidR="0088754C" w:rsidRPr="00A52EF3" w:rsidRDefault="0088754C" w:rsidP="00F25FCA">
      <w:pPr>
        <w:pStyle w:val="Default"/>
        <w:widowControl w:val="0"/>
        <w:numPr>
          <w:ilvl w:val="0"/>
          <w:numId w:val="82"/>
        </w:numPr>
        <w:autoSpaceDE/>
        <w:autoSpaceDN/>
        <w:adjustRightInd/>
        <w:spacing w:after="200" w:line="360" w:lineRule="auto"/>
        <w:jc w:val="both"/>
        <w:rPr>
          <w:color w:val="auto"/>
        </w:rPr>
      </w:pPr>
      <w:r w:rsidRPr="00A52EF3">
        <w:rPr>
          <w:color w:val="auto"/>
        </w:rPr>
        <w:t xml:space="preserve">Wspieranie efektywności energetycznej inteligentnego zarządzania energią </w:t>
      </w:r>
      <w:r w:rsidRPr="00A52EF3">
        <w:rPr>
          <w:color w:val="auto"/>
        </w:rPr>
        <w:br/>
        <w:t xml:space="preserve">i wykorzystania odnawialnych źródeł energii w infrastrukturze publicznej, w tym </w:t>
      </w:r>
      <w:r w:rsidRPr="00A52EF3">
        <w:rPr>
          <w:color w:val="auto"/>
        </w:rPr>
        <w:br/>
        <w:t>w budynkach publicznych i sektorze mieszkaniowym</w:t>
      </w:r>
    </w:p>
    <w:p w:rsidR="0088754C" w:rsidRPr="00A52EF3" w:rsidRDefault="0088754C" w:rsidP="00F25FCA">
      <w:pPr>
        <w:pStyle w:val="Default"/>
        <w:widowControl w:val="0"/>
        <w:numPr>
          <w:ilvl w:val="0"/>
          <w:numId w:val="82"/>
        </w:numPr>
        <w:autoSpaceDE/>
        <w:autoSpaceDN/>
        <w:adjustRightInd/>
        <w:spacing w:after="200" w:line="360" w:lineRule="auto"/>
        <w:jc w:val="both"/>
        <w:rPr>
          <w:color w:val="auto"/>
        </w:rPr>
      </w:pPr>
      <w:r w:rsidRPr="00A52EF3">
        <w:rPr>
          <w:color w:val="auto"/>
        </w:rPr>
        <w:t xml:space="preserve">Promowanie strategii niskoemisyjnej dla wszystkich rodzajów terytoriów, </w:t>
      </w:r>
      <w:r w:rsidRPr="00A52EF3">
        <w:rPr>
          <w:color w:val="auto"/>
        </w:rPr>
        <w:br/>
        <w:t>w szczególności dla obszarów miejskich, w tym wspieranie zrównoważonej multimodalnej mobilności miejskiej  działań adaptacyjnych mających oddziaływanie łagodzące na zmiany klimatu</w:t>
      </w:r>
    </w:p>
    <w:p w:rsidR="00C55DD4" w:rsidRPr="00A52EF3" w:rsidRDefault="00C55DD4" w:rsidP="00F25FCA">
      <w:pPr>
        <w:pStyle w:val="Default"/>
        <w:widowControl w:val="0"/>
        <w:autoSpaceDE/>
        <w:autoSpaceDN/>
        <w:adjustRightInd/>
        <w:spacing w:after="200" w:line="360" w:lineRule="auto"/>
        <w:jc w:val="both"/>
        <w:rPr>
          <w:b/>
          <w:color w:val="auto"/>
        </w:rPr>
      </w:pPr>
    </w:p>
    <w:p w:rsidR="00295454" w:rsidRPr="00A52EF3" w:rsidRDefault="00554F04" w:rsidP="00545ED4">
      <w:pPr>
        <w:pStyle w:val="Nagwek1"/>
        <w:numPr>
          <w:ilvl w:val="0"/>
          <w:numId w:val="86"/>
        </w:numPr>
        <w:spacing w:line="360" w:lineRule="auto"/>
        <w:jc w:val="both"/>
        <w:rPr>
          <w:rFonts w:ascii="Times New Roman" w:hAnsi="Times New Roman" w:cs="Times New Roman"/>
          <w:color w:val="auto"/>
        </w:rPr>
      </w:pPr>
      <w:bookmarkStart w:id="83" w:name="_Toc451417933"/>
      <w:bookmarkStart w:id="84" w:name="_Toc470764026"/>
      <w:r w:rsidRPr="00A52EF3">
        <w:rPr>
          <w:rFonts w:ascii="Times New Roman" w:hAnsi="Times New Roman" w:cs="Times New Roman"/>
          <w:color w:val="auto"/>
        </w:rPr>
        <w:lastRenderedPageBreak/>
        <w:t>Strategia do 2020</w:t>
      </w:r>
      <w:r w:rsidR="00295454" w:rsidRPr="00A52EF3">
        <w:rPr>
          <w:rFonts w:ascii="Times New Roman" w:hAnsi="Times New Roman" w:cs="Times New Roman"/>
          <w:color w:val="auto"/>
        </w:rPr>
        <w:t xml:space="preserve"> roku oraz działania i środki zaplanowane na okres objęty planem</w:t>
      </w:r>
      <w:bookmarkEnd w:id="83"/>
      <w:bookmarkEnd w:id="84"/>
    </w:p>
    <w:p w:rsidR="00295454" w:rsidRPr="00A52EF3" w:rsidRDefault="00295454" w:rsidP="00545ED4">
      <w:pPr>
        <w:pStyle w:val="Nagwek2"/>
        <w:numPr>
          <w:ilvl w:val="1"/>
          <w:numId w:val="86"/>
        </w:numPr>
        <w:spacing w:after="200" w:line="360" w:lineRule="auto"/>
        <w:rPr>
          <w:rFonts w:ascii="Times New Roman" w:hAnsi="Times New Roman" w:cs="Times New Roman"/>
          <w:color w:val="auto"/>
        </w:rPr>
      </w:pPr>
      <w:bookmarkStart w:id="85" w:name="_Toc451417934"/>
      <w:bookmarkStart w:id="86" w:name="_Toc470764027"/>
      <w:r w:rsidRPr="00A52EF3">
        <w:rPr>
          <w:rFonts w:ascii="Times New Roman" w:hAnsi="Times New Roman" w:cs="Times New Roman"/>
          <w:color w:val="auto"/>
        </w:rPr>
        <w:t xml:space="preserve">Długoterminowa strategia Gminy </w:t>
      </w:r>
      <w:bookmarkEnd w:id="85"/>
      <w:r w:rsidR="004E48D5" w:rsidRPr="00A52EF3">
        <w:rPr>
          <w:rFonts w:ascii="Times New Roman" w:hAnsi="Times New Roman" w:cs="Times New Roman"/>
          <w:color w:val="auto"/>
        </w:rPr>
        <w:t>Brody</w:t>
      </w:r>
      <w:bookmarkEnd w:id="86"/>
    </w:p>
    <w:p w:rsidR="004E48D5" w:rsidRPr="00A52EF3" w:rsidRDefault="004E48D5" w:rsidP="00F25FCA">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Opracowanie i realizacja zadań określonych w Planie gospodarki niskoemisyjnej pozwala na osiągnięcie celów określonych w pakiecie klimatyczno-energetycznym Unii Europejskiej do roku 2020, tj.:</w:t>
      </w:r>
    </w:p>
    <w:p w:rsidR="004E48D5" w:rsidRPr="00A52EF3" w:rsidRDefault="004E48D5" w:rsidP="00F25FCA">
      <w:pPr>
        <w:pStyle w:val="Akapitzlist"/>
        <w:numPr>
          <w:ilvl w:val="0"/>
          <w:numId w:val="5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redukcję emisji gazów cieplarnianych o przynajmniej 20% w </w:t>
      </w:r>
      <w:r w:rsidR="0059498D" w:rsidRPr="00A52EF3">
        <w:rPr>
          <w:rFonts w:ascii="Times New Roman" w:hAnsi="Times New Roman" w:cs="Times New Roman"/>
          <w:sz w:val="24"/>
          <w:szCs w:val="24"/>
        </w:rPr>
        <w:t xml:space="preserve">stosunku do poziomu </w:t>
      </w:r>
      <w:r w:rsidR="0059498D" w:rsidRPr="00A52EF3">
        <w:rPr>
          <w:rFonts w:ascii="Times New Roman" w:hAnsi="Times New Roman" w:cs="Times New Roman"/>
          <w:sz w:val="24"/>
          <w:szCs w:val="24"/>
        </w:rPr>
        <w:br/>
        <w:t>z roku 1990,</w:t>
      </w:r>
    </w:p>
    <w:p w:rsidR="004E48D5" w:rsidRPr="00A52EF3" w:rsidRDefault="004E48D5" w:rsidP="00F25FCA">
      <w:pPr>
        <w:pStyle w:val="Akapitzlist"/>
        <w:numPr>
          <w:ilvl w:val="0"/>
          <w:numId w:val="5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zwiększenie udziału zużycia energii z odnawialnych źródeł do 20% w ogólnym zużyciu energii (w przypadku Polski 15%),</w:t>
      </w:r>
    </w:p>
    <w:p w:rsidR="004E48D5" w:rsidRPr="00A52EF3" w:rsidRDefault="004E48D5" w:rsidP="00F25FCA">
      <w:pPr>
        <w:pStyle w:val="Akapitzlist"/>
        <w:numPr>
          <w:ilvl w:val="0"/>
          <w:numId w:val="55"/>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redukcję zużycia energii pierwotnej o 20% w stosunku do prognoz na 2020 rok, czyli podniesienie efektywności energetycznej.</w:t>
      </w:r>
    </w:p>
    <w:p w:rsidR="004E48D5" w:rsidRPr="00A52EF3" w:rsidRDefault="004E48D5" w:rsidP="00F25FCA">
      <w:pPr>
        <w:spacing w:after="0" w:line="360" w:lineRule="auto"/>
        <w:jc w:val="both"/>
        <w:rPr>
          <w:rFonts w:ascii="Times New Roman" w:hAnsi="Times New Roman" w:cs="Times New Roman"/>
          <w:sz w:val="24"/>
          <w:szCs w:val="24"/>
        </w:rPr>
      </w:pPr>
    </w:p>
    <w:p w:rsidR="004E48D5" w:rsidRPr="00A52EF3" w:rsidRDefault="004E48D5" w:rsidP="00F25FCA">
      <w:p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Dla Gminy Brody założono następujące cele:</w:t>
      </w:r>
    </w:p>
    <w:p w:rsidR="007352AF" w:rsidRPr="00A52EF3" w:rsidRDefault="007352AF" w:rsidP="007352AF">
      <w:pPr>
        <w:pStyle w:val="Akapitzlist"/>
        <w:numPr>
          <w:ilvl w:val="0"/>
          <w:numId w:val="2"/>
        </w:numPr>
        <w:spacing w:line="360" w:lineRule="auto"/>
        <w:jc w:val="both"/>
        <w:rPr>
          <w:rFonts w:ascii="Times New Roman" w:eastAsia="Times New Roman" w:hAnsi="Times New Roman" w:cs="Times New Roman"/>
          <w:sz w:val="24"/>
          <w:szCs w:val="24"/>
        </w:rPr>
      </w:pPr>
      <w:r w:rsidRPr="00A52EF3">
        <w:rPr>
          <w:rFonts w:ascii="Times New Roman" w:hAnsi="Times New Roman" w:cs="Times New Roman"/>
          <w:sz w:val="24"/>
          <w:szCs w:val="24"/>
        </w:rPr>
        <w:t>redukcję emisji gazów cieplarnianych o ok. 3341,09 Mg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co w przeliczeniu daje 5,93%,</w:t>
      </w:r>
      <w:r w:rsidRPr="00A52EF3">
        <w:rPr>
          <w:rFonts w:ascii="Times New Roman" w:hAnsi="Times New Roman" w:cs="Times New Roman"/>
          <w:sz w:val="24"/>
          <w:szCs w:val="24"/>
          <w:vertAlign w:val="subscript"/>
        </w:rPr>
        <w:t xml:space="preserve"> </w:t>
      </w:r>
      <w:r w:rsidRPr="00A52EF3">
        <w:rPr>
          <w:rFonts w:ascii="Times New Roman" w:hAnsi="Times New Roman" w:cs="Times New Roman"/>
          <w:sz w:val="24"/>
          <w:szCs w:val="24"/>
        </w:rPr>
        <w:t>w porównaniu do roku bazowego</w:t>
      </w:r>
    </w:p>
    <w:p w:rsidR="007352AF" w:rsidRPr="00A52EF3" w:rsidRDefault="007352AF" w:rsidP="007352AF">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zwiększenie udziału zużycia odnawialnych źródeł energii o ok. 511,52 MWh, </w:t>
      </w:r>
      <w:r w:rsidRPr="00A52EF3">
        <w:rPr>
          <w:rFonts w:ascii="Times New Roman" w:hAnsi="Times New Roman" w:cs="Times New Roman"/>
          <w:sz w:val="24"/>
          <w:szCs w:val="24"/>
        </w:rPr>
        <w:br/>
        <w:t xml:space="preserve">tj. 3,37 punktów procentowych </w:t>
      </w:r>
    </w:p>
    <w:p w:rsidR="007352AF" w:rsidRPr="00A52EF3" w:rsidRDefault="007352AF" w:rsidP="007352AF">
      <w:pPr>
        <w:pStyle w:val="Akapitzlist"/>
        <w:numPr>
          <w:ilvl w:val="0"/>
          <w:numId w:val="1"/>
        </w:numPr>
        <w:spacing w:after="0" w:line="360" w:lineRule="auto"/>
        <w:jc w:val="both"/>
        <w:rPr>
          <w:rFonts w:ascii="Times New Roman" w:hAnsi="Times New Roman" w:cs="Times New Roman"/>
          <w:sz w:val="24"/>
          <w:szCs w:val="24"/>
        </w:rPr>
      </w:pPr>
      <w:r w:rsidRPr="00A52EF3">
        <w:rPr>
          <w:rFonts w:ascii="Times New Roman" w:hAnsi="Times New Roman" w:cs="Times New Roman"/>
          <w:sz w:val="24"/>
          <w:szCs w:val="24"/>
        </w:rPr>
        <w:t>redukcję zużycia energii pierwotnej o ok. 8446,1 MWh</w:t>
      </w:r>
      <w:r w:rsidRPr="00A52EF3">
        <w:rPr>
          <w:rFonts w:ascii="Times New Roman" w:eastAsia="Times New Roman" w:hAnsi="Times New Roman" w:cs="Times New Roman"/>
          <w:sz w:val="24"/>
          <w:szCs w:val="24"/>
        </w:rPr>
        <w:t>, czyli 5,72% zużycia w roku bazowym</w:t>
      </w:r>
    </w:p>
    <w:p w:rsidR="00DD1F74" w:rsidRPr="00A52EF3" w:rsidRDefault="00DD1F74" w:rsidP="00F25FCA">
      <w:pPr>
        <w:spacing w:line="360" w:lineRule="auto"/>
        <w:rPr>
          <w:rFonts w:ascii="Times New Roman" w:hAnsi="Times New Roman" w:cs="Times New Roman"/>
        </w:rPr>
      </w:pPr>
    </w:p>
    <w:p w:rsidR="004E48D5" w:rsidRPr="00A52EF3" w:rsidRDefault="004E48D5" w:rsidP="00F25FCA">
      <w:pPr>
        <w:spacing w:line="360" w:lineRule="auto"/>
        <w:jc w:val="both"/>
        <w:rPr>
          <w:rFonts w:ascii="Times New Roman" w:hAnsi="Times New Roman" w:cs="Times New Roman"/>
          <w:b/>
          <w:sz w:val="24"/>
          <w:szCs w:val="24"/>
        </w:rPr>
      </w:pPr>
      <w:r w:rsidRPr="00A52EF3">
        <w:rPr>
          <w:rFonts w:ascii="Times New Roman" w:hAnsi="Times New Roman" w:cs="Times New Roman"/>
          <w:b/>
          <w:sz w:val="24"/>
          <w:szCs w:val="24"/>
        </w:rPr>
        <w:t>Cel strategiczny Planu Gospodarki Niskoemisyjnej dla Gminy Brody</w:t>
      </w:r>
    </w:p>
    <w:p w:rsidR="004E48D5" w:rsidRPr="00A52EF3" w:rsidRDefault="004E48D5" w:rsidP="00F25FCA">
      <w:pPr>
        <w:spacing w:line="360" w:lineRule="auto"/>
        <w:ind w:firstLine="720"/>
        <w:jc w:val="both"/>
        <w:rPr>
          <w:rFonts w:ascii="Times New Roman" w:hAnsi="Times New Roman" w:cs="Times New Roman"/>
          <w:sz w:val="24"/>
          <w:szCs w:val="24"/>
        </w:rPr>
      </w:pPr>
      <w:r w:rsidRPr="00A52EF3">
        <w:rPr>
          <w:rFonts w:ascii="Times New Roman" w:hAnsi="Times New Roman" w:cs="Times New Roman"/>
          <w:sz w:val="24"/>
          <w:szCs w:val="24"/>
        </w:rPr>
        <w:t>Podniesienie efektywności energetycznej, redukcja emisji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xml:space="preserve"> oraz zwiększenie udziału energii z odnawialnych źródeł na terenie Gminy Brody.</w:t>
      </w:r>
    </w:p>
    <w:p w:rsidR="007F0B6B" w:rsidRPr="00A52EF3" w:rsidRDefault="007F0B6B" w:rsidP="00905E52">
      <w:pPr>
        <w:spacing w:line="360" w:lineRule="auto"/>
        <w:jc w:val="both"/>
        <w:rPr>
          <w:rFonts w:ascii="Times New Roman" w:hAnsi="Times New Roman" w:cs="Times New Roman"/>
          <w:b/>
          <w:sz w:val="24"/>
          <w:szCs w:val="24"/>
        </w:rPr>
      </w:pPr>
    </w:p>
    <w:p w:rsidR="00DC4C8E" w:rsidRPr="00A52EF3" w:rsidRDefault="00DC4C8E" w:rsidP="00905E52">
      <w:pPr>
        <w:spacing w:line="360" w:lineRule="auto"/>
        <w:jc w:val="both"/>
        <w:rPr>
          <w:rFonts w:ascii="Times New Roman" w:hAnsi="Times New Roman" w:cs="Times New Roman"/>
          <w:b/>
          <w:sz w:val="24"/>
          <w:szCs w:val="24"/>
        </w:rPr>
      </w:pPr>
    </w:p>
    <w:p w:rsidR="004E48D5" w:rsidRPr="00A52EF3" w:rsidRDefault="004E48D5" w:rsidP="00F25FCA">
      <w:pPr>
        <w:spacing w:line="360" w:lineRule="auto"/>
        <w:rPr>
          <w:rStyle w:val="Teksttreci2Exact"/>
          <w:rFonts w:eastAsia="Calibri"/>
          <w:sz w:val="24"/>
          <w:szCs w:val="24"/>
        </w:rPr>
      </w:pPr>
      <w:r w:rsidRPr="00A52EF3">
        <w:rPr>
          <w:rStyle w:val="Teksttreci2Exact"/>
          <w:rFonts w:eastAsia="Calibri"/>
          <w:sz w:val="24"/>
          <w:szCs w:val="24"/>
        </w:rPr>
        <w:lastRenderedPageBreak/>
        <w:t>Cele szczegółowe:</w:t>
      </w:r>
    </w:p>
    <w:p w:rsidR="004E48D5" w:rsidRPr="00A52EF3" w:rsidRDefault="004E48D5" w:rsidP="00F25FCA">
      <w:pPr>
        <w:pStyle w:val="Akapitzlist"/>
        <w:numPr>
          <w:ilvl w:val="0"/>
          <w:numId w:val="55"/>
        </w:numPr>
        <w:spacing w:line="360" w:lineRule="auto"/>
        <w:jc w:val="both"/>
        <w:rPr>
          <w:rStyle w:val="Teksttreci2Exact"/>
          <w:rFonts w:eastAsia="Calibri"/>
          <w:sz w:val="24"/>
          <w:szCs w:val="24"/>
        </w:rPr>
      </w:pPr>
      <w:r w:rsidRPr="00A52EF3">
        <w:rPr>
          <w:rFonts w:ascii="Times New Roman" w:hAnsi="Times New Roman" w:cs="Times New Roman"/>
          <w:sz w:val="24"/>
          <w:szCs w:val="24"/>
        </w:rPr>
        <w:t>Termomodernizacja istniejących obiektów użyteczności publicznej oraz zasobów mieszkaniowych na terenie gminy,</w:t>
      </w:r>
    </w:p>
    <w:p w:rsidR="004E48D5" w:rsidRPr="00A52EF3" w:rsidRDefault="004E48D5" w:rsidP="00F25FCA">
      <w:pPr>
        <w:pStyle w:val="Akapitzlist"/>
        <w:numPr>
          <w:ilvl w:val="0"/>
          <w:numId w:val="55"/>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Prowadzenie remontów i modernizacji, w tym poprawa efektywności energetycznej obiektów użyteczności publicznej oraz mieszkalnych,</w:t>
      </w:r>
    </w:p>
    <w:p w:rsidR="00473ADA" w:rsidRPr="00A52EF3" w:rsidRDefault="00473ADA" w:rsidP="00F25FCA">
      <w:pPr>
        <w:pStyle w:val="Akapitzlist"/>
        <w:numPr>
          <w:ilvl w:val="0"/>
          <w:numId w:val="55"/>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Dopłaty do wymiany kotłów starej generacji na kotły opalane biomasą, kotły gazowe, kotły olejowe,</w:t>
      </w:r>
    </w:p>
    <w:p w:rsidR="004E48D5" w:rsidRPr="00A52EF3" w:rsidRDefault="004E48D5" w:rsidP="00F25FCA">
      <w:pPr>
        <w:pStyle w:val="Akapitzlist"/>
        <w:numPr>
          <w:ilvl w:val="0"/>
          <w:numId w:val="55"/>
        </w:numPr>
        <w:spacing w:line="360" w:lineRule="auto"/>
        <w:jc w:val="both"/>
        <w:rPr>
          <w:rStyle w:val="Teksttreci2Exact"/>
          <w:rFonts w:eastAsia="Calibri"/>
          <w:sz w:val="24"/>
          <w:szCs w:val="24"/>
        </w:rPr>
      </w:pPr>
      <w:r w:rsidRPr="00A52EF3">
        <w:rPr>
          <w:rStyle w:val="Teksttreci2Exact"/>
          <w:rFonts w:eastAsia="Calibri"/>
          <w:sz w:val="24"/>
          <w:szCs w:val="24"/>
        </w:rPr>
        <w:t>Realizowanie i wspieranie inwestycji związanych z wytwarzaniem energii ze źródeł odnawialnych,</w:t>
      </w:r>
    </w:p>
    <w:p w:rsidR="004E48D5" w:rsidRPr="00A52EF3" w:rsidRDefault="004E48D5" w:rsidP="00F25FCA">
      <w:pPr>
        <w:pStyle w:val="Akapitzlist"/>
        <w:numPr>
          <w:ilvl w:val="0"/>
          <w:numId w:val="55"/>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Zwiększony poziom ekoświadomości mieszkańców gminy,</w:t>
      </w:r>
    </w:p>
    <w:p w:rsidR="004E48D5" w:rsidRPr="00A52EF3" w:rsidRDefault="004E48D5" w:rsidP="00F25FCA">
      <w:pPr>
        <w:pStyle w:val="Akapitzlist"/>
        <w:numPr>
          <w:ilvl w:val="0"/>
          <w:numId w:val="55"/>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Promowanie wiedzy w zakresie pozyskiwania i wykorzystywania odnawialnych źródeł energii,</w:t>
      </w:r>
    </w:p>
    <w:p w:rsidR="000F491C" w:rsidRPr="00A52EF3" w:rsidRDefault="004E48D5" w:rsidP="00F25FCA">
      <w:pPr>
        <w:pStyle w:val="Akapitzlist"/>
        <w:numPr>
          <w:ilvl w:val="0"/>
          <w:numId w:val="55"/>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Uwzględnianie w planach zagospodarowania przestrzennego inwestycji efektywnych energetycznie.</w:t>
      </w:r>
      <w:bookmarkStart w:id="87" w:name="_Toc451417935"/>
    </w:p>
    <w:p w:rsidR="0089449A" w:rsidRPr="00A52EF3" w:rsidRDefault="0089449A" w:rsidP="0089449A">
      <w:pPr>
        <w:pStyle w:val="Akapitzlist"/>
        <w:spacing w:line="360" w:lineRule="auto"/>
        <w:jc w:val="both"/>
        <w:rPr>
          <w:rFonts w:ascii="Times New Roman" w:hAnsi="Times New Roman" w:cs="Times New Roman"/>
          <w:sz w:val="24"/>
          <w:szCs w:val="24"/>
        </w:rPr>
      </w:pPr>
    </w:p>
    <w:p w:rsidR="00654CA1" w:rsidRPr="00A52EF3" w:rsidRDefault="00654CA1" w:rsidP="00545ED4">
      <w:pPr>
        <w:pStyle w:val="Nagwek3"/>
        <w:numPr>
          <w:ilvl w:val="1"/>
          <w:numId w:val="86"/>
        </w:numPr>
        <w:spacing w:after="200" w:line="360" w:lineRule="auto"/>
        <w:rPr>
          <w:rFonts w:ascii="Times New Roman" w:hAnsi="Times New Roman" w:cs="Times New Roman"/>
          <w:color w:val="auto"/>
          <w:sz w:val="24"/>
        </w:rPr>
      </w:pPr>
      <w:bookmarkStart w:id="88" w:name="_Toc470764028"/>
      <w:r w:rsidRPr="00A52EF3">
        <w:rPr>
          <w:rFonts w:ascii="Times New Roman" w:hAnsi="Times New Roman" w:cs="Times New Roman"/>
          <w:color w:val="auto"/>
          <w:sz w:val="24"/>
        </w:rPr>
        <w:t>Termomodernizacj</w:t>
      </w:r>
      <w:r w:rsidR="00B84535" w:rsidRPr="00A52EF3">
        <w:rPr>
          <w:rFonts w:ascii="Times New Roman" w:hAnsi="Times New Roman" w:cs="Times New Roman"/>
          <w:color w:val="auto"/>
          <w:sz w:val="24"/>
        </w:rPr>
        <w:t>a i remonty</w:t>
      </w:r>
      <w:bookmarkEnd w:id="88"/>
    </w:p>
    <w:p w:rsidR="0089449A" w:rsidRPr="00A52EF3" w:rsidRDefault="00654CA1" w:rsidP="00DC4C8E">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Zadanie to ma na celu przekształcenie istniejących budynków użyteczności publicznej na obiekty, co najmniej</w:t>
      </w:r>
      <w:r w:rsidR="0099206C" w:rsidRPr="00A52EF3">
        <w:rPr>
          <w:rFonts w:ascii="Times New Roman" w:hAnsi="Times New Roman" w:cs="Times New Roman"/>
          <w:sz w:val="24"/>
        </w:rPr>
        <w:t xml:space="preserve"> energetycznej</w:t>
      </w:r>
      <w:r w:rsidRPr="00A52EF3">
        <w:rPr>
          <w:rFonts w:ascii="Times New Roman" w:hAnsi="Times New Roman" w:cs="Times New Roman"/>
          <w:sz w:val="24"/>
        </w:rPr>
        <w:t xml:space="preserve"> klasy C tj. średnio energooszczędne. Planuje się to uzyskać poprzez działania remontowe, w szczególności wymianę drzwi, okien, ocieplenie elewacji, stropu i połaci dachowej budynków. Przewidywanym efektem tego typu przedsięwzięć jest zmniejszenie kosztów użytkowania obiektu, zmniejszenie zapotrzebowania na energię</w:t>
      </w:r>
      <w:r w:rsidR="00B84535" w:rsidRPr="00A52EF3">
        <w:rPr>
          <w:rFonts w:ascii="Times New Roman" w:hAnsi="Times New Roman" w:cs="Times New Roman"/>
          <w:sz w:val="24"/>
        </w:rPr>
        <w:t>, mniejsze zużycie surowców energetycznych i poprawę warunków środowiska atmosferycznego.</w:t>
      </w:r>
    </w:p>
    <w:p w:rsidR="00EF41DE" w:rsidRPr="00A52EF3" w:rsidRDefault="00EF41DE" w:rsidP="00545ED4">
      <w:pPr>
        <w:pStyle w:val="Nagwek3"/>
        <w:numPr>
          <w:ilvl w:val="1"/>
          <w:numId w:val="86"/>
        </w:numPr>
        <w:spacing w:after="200" w:line="360" w:lineRule="auto"/>
        <w:rPr>
          <w:rFonts w:ascii="Times New Roman" w:hAnsi="Times New Roman" w:cs="Times New Roman"/>
          <w:color w:val="auto"/>
          <w:sz w:val="24"/>
        </w:rPr>
      </w:pPr>
      <w:bookmarkStart w:id="89" w:name="_Toc470764029"/>
      <w:r w:rsidRPr="00A52EF3">
        <w:rPr>
          <w:rFonts w:ascii="Times New Roman" w:hAnsi="Times New Roman" w:cs="Times New Roman"/>
          <w:color w:val="auto"/>
          <w:sz w:val="24"/>
        </w:rPr>
        <w:t>Dopłaty do wymiany kotłów</w:t>
      </w:r>
      <w:bookmarkEnd w:id="89"/>
    </w:p>
    <w:p w:rsidR="00BE1EBE" w:rsidRPr="00A52EF3" w:rsidRDefault="00EF41DE" w:rsidP="00DC4C8E">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To zadanie ma na celu stymulację wymiany kotłów starej generacji tj. głównie węglowych na kotły wykorzystujące inne, konwencjonalne źródła energii, w tym na kotły opalane biomasą, olejem opałowym lub gazem ziemnym. Takie rozwiązanie zmniejsza emisje </w:t>
      </w:r>
      <w:r w:rsidR="00772CD0" w:rsidRPr="00A52EF3">
        <w:rPr>
          <w:rFonts w:ascii="Times New Roman" w:hAnsi="Times New Roman" w:cs="Times New Roman"/>
          <w:sz w:val="24"/>
        </w:rPr>
        <w:t>nie tylko CO</w:t>
      </w:r>
      <w:r w:rsidR="00772CD0" w:rsidRPr="00A52EF3">
        <w:rPr>
          <w:rFonts w:ascii="Times New Roman" w:hAnsi="Times New Roman" w:cs="Times New Roman"/>
          <w:sz w:val="24"/>
          <w:vertAlign w:val="subscript"/>
        </w:rPr>
        <w:t>2</w:t>
      </w:r>
      <w:r w:rsidR="00772CD0" w:rsidRPr="00A52EF3">
        <w:rPr>
          <w:rFonts w:ascii="Times New Roman" w:hAnsi="Times New Roman" w:cs="Times New Roman"/>
          <w:sz w:val="24"/>
        </w:rPr>
        <w:t>, ale także pyłów i związków siarki i azotu.</w:t>
      </w:r>
    </w:p>
    <w:p w:rsidR="00EF41DE" w:rsidRPr="00A52EF3" w:rsidRDefault="00BE1EBE" w:rsidP="00545ED4">
      <w:pPr>
        <w:pStyle w:val="Nagwek3"/>
        <w:numPr>
          <w:ilvl w:val="1"/>
          <w:numId w:val="86"/>
        </w:numPr>
        <w:spacing w:after="200" w:line="360" w:lineRule="auto"/>
        <w:rPr>
          <w:rFonts w:ascii="Times New Roman" w:hAnsi="Times New Roman" w:cs="Times New Roman"/>
          <w:color w:val="auto"/>
          <w:sz w:val="24"/>
        </w:rPr>
      </w:pPr>
      <w:bookmarkStart w:id="90" w:name="_Toc470764030"/>
      <w:r w:rsidRPr="00A52EF3">
        <w:rPr>
          <w:rFonts w:ascii="Times New Roman" w:hAnsi="Times New Roman" w:cs="Times New Roman"/>
          <w:color w:val="auto"/>
          <w:sz w:val="24"/>
        </w:rPr>
        <w:lastRenderedPageBreak/>
        <w:t>Wspieranie inwestycji OZE</w:t>
      </w:r>
      <w:bookmarkEnd w:id="90"/>
    </w:p>
    <w:p w:rsidR="005C79A2" w:rsidRPr="00A52EF3" w:rsidRDefault="00BE1EBE" w:rsidP="0089449A">
      <w:pPr>
        <w:spacing w:line="360" w:lineRule="auto"/>
        <w:jc w:val="both"/>
        <w:rPr>
          <w:rFonts w:ascii="Times New Roman" w:hAnsi="Times New Roman" w:cs="Times New Roman"/>
          <w:sz w:val="24"/>
        </w:rPr>
      </w:pPr>
      <w:r w:rsidRPr="00A52EF3">
        <w:rPr>
          <w:rFonts w:ascii="Times New Roman" w:hAnsi="Times New Roman" w:cs="Times New Roman"/>
          <w:sz w:val="24"/>
        </w:rPr>
        <w:tab/>
        <w:t xml:space="preserve">Planowanym celem tego przedsięwzięcia jest wsparcie prywatnych i publicznych inwestycji w odnawialne źródła energii </w:t>
      </w:r>
      <w:r w:rsidR="0099206C" w:rsidRPr="00A52EF3">
        <w:rPr>
          <w:rFonts w:ascii="Times New Roman" w:hAnsi="Times New Roman" w:cs="Times New Roman"/>
          <w:sz w:val="24"/>
        </w:rPr>
        <w:t>tj. energetykę wiatrową, solarną</w:t>
      </w:r>
      <w:r w:rsidRPr="00A52EF3">
        <w:rPr>
          <w:rFonts w:ascii="Times New Roman" w:hAnsi="Times New Roman" w:cs="Times New Roman"/>
          <w:sz w:val="24"/>
        </w:rPr>
        <w:t>, pompy ciepła</w:t>
      </w:r>
      <w:r w:rsidR="005C79A2" w:rsidRPr="00A52EF3">
        <w:rPr>
          <w:rFonts w:ascii="Times New Roman" w:hAnsi="Times New Roman" w:cs="Times New Roman"/>
          <w:sz w:val="24"/>
        </w:rPr>
        <w:t xml:space="preserve">, małą energetykę wodną. </w:t>
      </w:r>
      <w:r w:rsidR="0099206C" w:rsidRPr="00A52EF3">
        <w:rPr>
          <w:rFonts w:ascii="Times New Roman" w:hAnsi="Times New Roman" w:cs="Times New Roman"/>
          <w:sz w:val="24"/>
        </w:rPr>
        <w:t xml:space="preserve">Podjęte zostaną starania mające na celu systematyczną przebudowę systemów pozyskiwania energii z metod konwencjonalnych na odnawialne źródła energii. </w:t>
      </w:r>
      <w:r w:rsidR="005C79A2" w:rsidRPr="00A52EF3">
        <w:rPr>
          <w:rFonts w:ascii="Times New Roman" w:hAnsi="Times New Roman" w:cs="Times New Roman"/>
          <w:sz w:val="24"/>
        </w:rPr>
        <w:t>Planowanym efektem jest rozproszenie energetyki regionu i uniezależnienie lub zmniejszenie zależności  poszczególnych inwestorów od tradycyjnych, skoncentrowanych producentów energii.</w:t>
      </w:r>
      <w:r w:rsidR="0099206C" w:rsidRPr="00A52EF3">
        <w:rPr>
          <w:rFonts w:ascii="Times New Roman" w:hAnsi="Times New Roman" w:cs="Times New Roman"/>
          <w:sz w:val="24"/>
        </w:rPr>
        <w:t xml:space="preserve"> </w:t>
      </w:r>
    </w:p>
    <w:p w:rsidR="005C79A2" w:rsidRPr="00A52EF3" w:rsidRDefault="005C79A2" w:rsidP="00545ED4">
      <w:pPr>
        <w:pStyle w:val="Nagwek3"/>
        <w:numPr>
          <w:ilvl w:val="1"/>
          <w:numId w:val="86"/>
        </w:numPr>
        <w:spacing w:after="200" w:line="360" w:lineRule="auto"/>
        <w:rPr>
          <w:rFonts w:ascii="Times New Roman" w:hAnsi="Times New Roman" w:cs="Times New Roman"/>
          <w:color w:val="auto"/>
          <w:sz w:val="24"/>
        </w:rPr>
      </w:pPr>
      <w:bookmarkStart w:id="91" w:name="_Toc470764031"/>
      <w:r w:rsidRPr="00A52EF3">
        <w:rPr>
          <w:rFonts w:ascii="Times New Roman" w:hAnsi="Times New Roman" w:cs="Times New Roman"/>
          <w:color w:val="auto"/>
          <w:sz w:val="24"/>
        </w:rPr>
        <w:t>Zwiększenie świadomości ekologicznej mieszkańców</w:t>
      </w:r>
      <w:r w:rsidR="00AD550E" w:rsidRPr="00A52EF3">
        <w:rPr>
          <w:rFonts w:ascii="Times New Roman" w:hAnsi="Times New Roman" w:cs="Times New Roman"/>
          <w:color w:val="auto"/>
          <w:sz w:val="24"/>
        </w:rPr>
        <w:t xml:space="preserve"> i promowanie wiedzy o OZE</w:t>
      </w:r>
      <w:bookmarkEnd w:id="91"/>
    </w:p>
    <w:p w:rsidR="00715829" w:rsidRPr="00A52EF3" w:rsidRDefault="00CA154D" w:rsidP="0089449A">
      <w:pPr>
        <w:spacing w:line="360" w:lineRule="auto"/>
        <w:jc w:val="both"/>
        <w:rPr>
          <w:rFonts w:ascii="Times New Roman" w:hAnsi="Times New Roman" w:cs="Times New Roman"/>
          <w:sz w:val="24"/>
        </w:rPr>
      </w:pPr>
      <w:r w:rsidRPr="00A52EF3">
        <w:rPr>
          <w:rFonts w:ascii="Times New Roman" w:hAnsi="Times New Roman" w:cs="Times New Roman"/>
          <w:sz w:val="24"/>
        </w:rPr>
        <w:tab/>
        <w:t>Realizacja tego zadania polegać będzie na podniesieniu świadomości ekologicznej mieszkańców. Ma to na celu poszerzenie znajomości podstawowych zagadnień z działu energetyki, ekonomii i ochrony środowiska, wyrobienie dobrych nawyków konsumenckich i działań pro środowiskowych z korzyścią dla ogółu społeczeństwa.</w:t>
      </w:r>
      <w:r w:rsidR="00AD550E" w:rsidRPr="00A52EF3">
        <w:rPr>
          <w:rFonts w:ascii="Times New Roman" w:hAnsi="Times New Roman" w:cs="Times New Roman"/>
          <w:sz w:val="24"/>
        </w:rPr>
        <w:t xml:space="preserve"> Dodatkowo będzie się promować wiedzę o OZE</w:t>
      </w:r>
      <w:r w:rsidR="00B05C34" w:rsidRPr="00A52EF3">
        <w:rPr>
          <w:rFonts w:ascii="Times New Roman" w:hAnsi="Times New Roman" w:cs="Times New Roman"/>
          <w:sz w:val="24"/>
        </w:rPr>
        <w:t>. Ma to na celu podniesienie rozpoznawalności OZE i spopularyzowanie stosowania alternatywnych źródeł energii ze względów zarówno ekonomicznych jak i środowiskowych.</w:t>
      </w:r>
    </w:p>
    <w:p w:rsidR="00B05C34" w:rsidRPr="00A52EF3" w:rsidRDefault="00715829" w:rsidP="00545ED4">
      <w:pPr>
        <w:pStyle w:val="Nagwek3"/>
        <w:numPr>
          <w:ilvl w:val="1"/>
          <w:numId w:val="86"/>
        </w:numPr>
        <w:spacing w:after="200" w:line="360" w:lineRule="auto"/>
        <w:rPr>
          <w:rFonts w:ascii="Times New Roman" w:hAnsi="Times New Roman" w:cs="Times New Roman"/>
          <w:color w:val="auto"/>
          <w:sz w:val="24"/>
        </w:rPr>
      </w:pPr>
      <w:bookmarkStart w:id="92" w:name="_Toc470764032"/>
      <w:r w:rsidRPr="00A52EF3">
        <w:rPr>
          <w:rFonts w:ascii="Times New Roman" w:hAnsi="Times New Roman" w:cs="Times New Roman"/>
          <w:color w:val="auto"/>
          <w:sz w:val="24"/>
        </w:rPr>
        <w:t>Wspieranie produktów i usług efektywnych energetycznie</w:t>
      </w:r>
      <w:bookmarkEnd w:id="92"/>
      <w:r w:rsidRPr="00A52EF3">
        <w:rPr>
          <w:rFonts w:ascii="Times New Roman" w:hAnsi="Times New Roman" w:cs="Times New Roman"/>
          <w:color w:val="auto"/>
          <w:sz w:val="24"/>
        </w:rPr>
        <w:t xml:space="preserve"> </w:t>
      </w:r>
    </w:p>
    <w:p w:rsidR="00715829" w:rsidRPr="00A52EF3" w:rsidRDefault="00715829" w:rsidP="0089449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Zadanie to sugeruje, w przypadku składania przez Gminę zamówień publicznych branie pod ocenę nie tylko ekonomicznych aspektów ofert, ale także ich wpływ na środowisko. Zakłada ono, że korzyści wynikające z poprawy stanu środowiska, co najmniej równoważą korzyści ekonomiczne.</w:t>
      </w:r>
      <w:r w:rsidR="00D95130" w:rsidRPr="00A52EF3">
        <w:rPr>
          <w:rFonts w:ascii="Times New Roman" w:hAnsi="Times New Roman" w:cs="Times New Roman"/>
          <w:sz w:val="24"/>
        </w:rPr>
        <w:t xml:space="preserve"> Korzyści środowiskow</w:t>
      </w:r>
      <w:r w:rsidR="00A20508" w:rsidRPr="00A52EF3">
        <w:rPr>
          <w:rFonts w:ascii="Times New Roman" w:hAnsi="Times New Roman" w:cs="Times New Roman"/>
          <w:sz w:val="24"/>
        </w:rPr>
        <w:t>e dla społeczności lokalnej,</w:t>
      </w:r>
      <w:r w:rsidR="002077AF" w:rsidRPr="00A52EF3">
        <w:rPr>
          <w:rFonts w:ascii="Times New Roman" w:hAnsi="Times New Roman" w:cs="Times New Roman"/>
          <w:sz w:val="24"/>
        </w:rPr>
        <w:t xml:space="preserve"> w założeniu stają się równoważne z korzyściami finansowymi dla budżetu gminy.</w:t>
      </w:r>
    </w:p>
    <w:p w:rsidR="00715829" w:rsidRPr="00A52EF3" w:rsidRDefault="00715829" w:rsidP="0089449A">
      <w:pPr>
        <w:spacing w:line="360" w:lineRule="auto"/>
        <w:jc w:val="both"/>
        <w:rPr>
          <w:rFonts w:ascii="Times New Roman" w:hAnsi="Times New Roman" w:cs="Times New Roman"/>
          <w:sz w:val="24"/>
        </w:rPr>
      </w:pPr>
    </w:p>
    <w:p w:rsidR="00B05C34" w:rsidRPr="00A52EF3" w:rsidRDefault="00B05C34" w:rsidP="00AE756A">
      <w:pPr>
        <w:pStyle w:val="Nagwek3"/>
        <w:numPr>
          <w:ilvl w:val="1"/>
          <w:numId w:val="86"/>
        </w:numPr>
        <w:spacing w:after="200" w:line="360" w:lineRule="auto"/>
        <w:rPr>
          <w:rFonts w:ascii="Times New Roman" w:hAnsi="Times New Roman" w:cs="Times New Roman"/>
          <w:color w:val="auto"/>
          <w:sz w:val="24"/>
        </w:rPr>
      </w:pPr>
      <w:bookmarkStart w:id="93" w:name="_Toc470764033"/>
      <w:r w:rsidRPr="00A52EF3">
        <w:rPr>
          <w:rFonts w:ascii="Times New Roman" w:hAnsi="Times New Roman" w:cs="Times New Roman"/>
          <w:color w:val="auto"/>
          <w:sz w:val="24"/>
        </w:rPr>
        <w:lastRenderedPageBreak/>
        <w:t>Uwzględnianie w planach zagospodarowania przestrzennego inwestycji efektywnych energetycznie.</w:t>
      </w:r>
      <w:bookmarkEnd w:id="93"/>
    </w:p>
    <w:p w:rsidR="00B05C34" w:rsidRPr="00A52EF3" w:rsidRDefault="00B05C34" w:rsidP="007A3059">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To zadanie ma na celu uwzględnienie w planach zagospodarowania przestrzennego inwestycji efektywnych energetycznie, czyli takich, które</w:t>
      </w:r>
      <w:r w:rsidR="008E60E5" w:rsidRPr="00A52EF3">
        <w:rPr>
          <w:rFonts w:ascii="Times New Roman" w:hAnsi="Times New Roman" w:cs="Times New Roman"/>
          <w:sz w:val="24"/>
        </w:rPr>
        <w:t xml:space="preserve"> są wydajne pod względem energetycznym,</w:t>
      </w:r>
      <w:r w:rsidRPr="00A52EF3">
        <w:rPr>
          <w:rFonts w:ascii="Times New Roman" w:hAnsi="Times New Roman" w:cs="Times New Roman"/>
          <w:sz w:val="24"/>
        </w:rPr>
        <w:t xml:space="preserve"> powodują zmniejszenie zużycia energii, </w:t>
      </w:r>
      <w:r w:rsidR="008E60E5" w:rsidRPr="00A52EF3">
        <w:rPr>
          <w:rFonts w:ascii="Times New Roman" w:hAnsi="Times New Roman" w:cs="Times New Roman"/>
          <w:sz w:val="24"/>
        </w:rPr>
        <w:t xml:space="preserve">czy </w:t>
      </w:r>
      <w:r w:rsidRPr="00A52EF3">
        <w:rPr>
          <w:rFonts w:ascii="Times New Roman" w:hAnsi="Times New Roman" w:cs="Times New Roman"/>
          <w:sz w:val="24"/>
        </w:rPr>
        <w:t>redukowanie kosztów eksploatacji.</w:t>
      </w:r>
      <w:r w:rsidR="003C5CA4" w:rsidRPr="00A52EF3">
        <w:rPr>
          <w:rFonts w:ascii="Times New Roman" w:hAnsi="Times New Roman" w:cs="Times New Roman"/>
          <w:sz w:val="24"/>
        </w:rPr>
        <w:t xml:space="preserve"> Są to inwestycje przynoszące korzyści nie tylko Gminie, ale każdemu mieszkańcowi.</w:t>
      </w:r>
      <w:r w:rsidR="00A66797" w:rsidRPr="00A52EF3">
        <w:rPr>
          <w:rFonts w:ascii="Times New Roman" w:hAnsi="Times New Roman" w:cs="Times New Roman"/>
          <w:sz w:val="24"/>
        </w:rPr>
        <w:t xml:space="preserve"> Przyczyniają się d</w:t>
      </w:r>
      <w:r w:rsidR="00715829" w:rsidRPr="00A52EF3">
        <w:rPr>
          <w:rFonts w:ascii="Times New Roman" w:hAnsi="Times New Roman" w:cs="Times New Roman"/>
          <w:sz w:val="24"/>
        </w:rPr>
        <w:t>o</w:t>
      </w:r>
      <w:r w:rsidR="008E60E5" w:rsidRPr="00A52EF3">
        <w:rPr>
          <w:rFonts w:ascii="Times New Roman" w:hAnsi="Times New Roman" w:cs="Times New Roman"/>
          <w:sz w:val="24"/>
        </w:rPr>
        <w:t xml:space="preserve"> rozwoju w harmonii z naturą i wzrostem</w:t>
      </w:r>
      <w:r w:rsidR="00715829" w:rsidRPr="00A52EF3">
        <w:rPr>
          <w:rFonts w:ascii="Times New Roman" w:hAnsi="Times New Roman" w:cs="Times New Roman"/>
          <w:sz w:val="24"/>
        </w:rPr>
        <w:t xml:space="preserve"> ekonomicznym Gminy.</w:t>
      </w:r>
    </w:p>
    <w:p w:rsidR="00AD550E" w:rsidRPr="00A52EF3" w:rsidRDefault="00AD550E" w:rsidP="00CA154D">
      <w:pPr>
        <w:jc w:val="both"/>
        <w:rPr>
          <w:rFonts w:ascii="Times New Roman" w:hAnsi="Times New Roman" w:cs="Times New Roman"/>
        </w:rPr>
      </w:pPr>
    </w:p>
    <w:p w:rsidR="004E48D5" w:rsidRPr="00A52EF3" w:rsidRDefault="004E48D5" w:rsidP="00545ED4">
      <w:pPr>
        <w:pStyle w:val="Nagwek1"/>
        <w:numPr>
          <w:ilvl w:val="0"/>
          <w:numId w:val="86"/>
        </w:numPr>
        <w:rPr>
          <w:rFonts w:ascii="Times New Roman" w:hAnsi="Times New Roman" w:cs="Times New Roman"/>
          <w:color w:val="auto"/>
        </w:rPr>
      </w:pPr>
      <w:bookmarkStart w:id="94" w:name="_Toc470764034"/>
      <w:r w:rsidRPr="00A52EF3">
        <w:rPr>
          <w:rFonts w:ascii="Times New Roman" w:hAnsi="Times New Roman" w:cs="Times New Roman"/>
          <w:color w:val="auto"/>
        </w:rPr>
        <w:t>Analiza SWOT</w:t>
      </w:r>
      <w:bookmarkEnd w:id="87"/>
      <w:bookmarkEnd w:id="94"/>
    </w:p>
    <w:p w:rsidR="00545ED4" w:rsidRPr="00A52EF3" w:rsidRDefault="00545ED4" w:rsidP="00545ED4">
      <w:pPr>
        <w:rPr>
          <w:rFonts w:ascii="Times New Roman" w:hAnsi="Times New Roman" w:cs="Times New Roman"/>
        </w:rPr>
      </w:pPr>
    </w:p>
    <w:p w:rsidR="00372BC1" w:rsidRPr="00A52EF3" w:rsidRDefault="004E48D5" w:rsidP="007F0B6B">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Realizacja Planu Gospodarki Niskoemisyjnej dla Gminy Brody wynika nie tylko </w:t>
      </w:r>
      <w:r w:rsidRPr="00A52EF3">
        <w:rPr>
          <w:rFonts w:ascii="Times New Roman" w:hAnsi="Times New Roman" w:cs="Times New Roman"/>
          <w:sz w:val="24"/>
          <w:szCs w:val="24"/>
        </w:rPr>
        <w:br/>
        <w:t>z przeprowadzonej inwentaryzacji emisji dwutlenku węgla pochodzącego ze spalania nośników energii na terenie gminy, ale również z analizy czynników społeczno-gospodarczych charakteryzujących Gminę Brody. W niniejszym rozdziale wykorzystano jedną z najpopularniejszych, a zarazem najskuteczniejszych metod analitycznych stosowanych we wszystkich obszarach planowania strategicznego – analizę SWOT. Zidentyfikowano silne i słabe strony Gminy Brody, a także szanse i zagrożenia, które mogą wywierać istotny wpływ na redukcję emisji gazów cieplarnianych, osiągniętą poprzez plano</w:t>
      </w:r>
      <w:r w:rsidR="00554F04" w:rsidRPr="00A52EF3">
        <w:rPr>
          <w:rFonts w:ascii="Times New Roman" w:hAnsi="Times New Roman" w:cs="Times New Roman"/>
          <w:sz w:val="24"/>
          <w:szCs w:val="24"/>
        </w:rPr>
        <w:t>wane działania na lata 2016-2020</w:t>
      </w:r>
      <w:r w:rsidRPr="00A52EF3">
        <w:rPr>
          <w:rFonts w:ascii="Times New Roman" w:hAnsi="Times New Roman" w:cs="Times New Roman"/>
          <w:sz w:val="24"/>
          <w:szCs w:val="24"/>
        </w:rPr>
        <w:t xml:space="preserve">, dotyczące Gminy Brody objętej </w:t>
      </w:r>
      <w:r w:rsidRPr="00A52EF3">
        <w:rPr>
          <w:rFonts w:ascii="Times New Roman" w:hAnsi="Times New Roman" w:cs="Times New Roman"/>
          <w:i/>
          <w:sz w:val="24"/>
          <w:szCs w:val="24"/>
        </w:rPr>
        <w:t>Planem</w:t>
      </w:r>
      <w:r w:rsidRPr="00A52EF3">
        <w:rPr>
          <w:rFonts w:ascii="Times New Roman" w:hAnsi="Times New Roman" w:cs="Times New Roman"/>
          <w:sz w:val="24"/>
          <w:szCs w:val="24"/>
        </w:rPr>
        <w:t xml:space="preserve"> i na cały jej obszar geograficzny – warunkując tym samym powodzenie wdrożenia Planu Gospodarki Niskoemisyjnej Gminy Brody. </w:t>
      </w:r>
    </w:p>
    <w:p w:rsidR="00E21859" w:rsidRPr="00A52EF3" w:rsidRDefault="00E21859" w:rsidP="007F0B6B">
      <w:pPr>
        <w:spacing w:line="360" w:lineRule="auto"/>
        <w:ind w:firstLine="708"/>
        <w:jc w:val="both"/>
        <w:rPr>
          <w:rFonts w:ascii="Times New Roman" w:hAnsi="Times New Roman" w:cs="Times New Roman"/>
          <w:sz w:val="24"/>
          <w:szCs w:val="24"/>
        </w:rPr>
      </w:pPr>
    </w:p>
    <w:p w:rsidR="00DC4C8E" w:rsidRPr="00A52EF3" w:rsidRDefault="00DC4C8E" w:rsidP="007F0B6B">
      <w:pPr>
        <w:spacing w:line="360" w:lineRule="auto"/>
        <w:ind w:firstLine="708"/>
        <w:jc w:val="both"/>
        <w:rPr>
          <w:rFonts w:ascii="Times New Roman" w:hAnsi="Times New Roman" w:cs="Times New Roman"/>
          <w:sz w:val="24"/>
          <w:szCs w:val="24"/>
        </w:rPr>
      </w:pPr>
    </w:p>
    <w:p w:rsidR="00DC4C8E" w:rsidRPr="00A52EF3" w:rsidRDefault="00DC4C8E" w:rsidP="007F0B6B">
      <w:pPr>
        <w:spacing w:line="360" w:lineRule="auto"/>
        <w:ind w:firstLine="708"/>
        <w:jc w:val="both"/>
        <w:rPr>
          <w:rFonts w:ascii="Times New Roman" w:hAnsi="Times New Roman" w:cs="Times New Roman"/>
          <w:sz w:val="24"/>
          <w:szCs w:val="24"/>
        </w:rPr>
      </w:pPr>
    </w:p>
    <w:p w:rsidR="00DC4C8E" w:rsidRPr="00A52EF3" w:rsidRDefault="00DC4C8E" w:rsidP="007F0B6B">
      <w:pPr>
        <w:spacing w:line="360" w:lineRule="auto"/>
        <w:ind w:firstLine="708"/>
        <w:jc w:val="both"/>
        <w:rPr>
          <w:rFonts w:ascii="Times New Roman" w:hAnsi="Times New Roman" w:cs="Times New Roman"/>
          <w:sz w:val="24"/>
          <w:szCs w:val="24"/>
        </w:rPr>
      </w:pPr>
    </w:p>
    <w:tbl>
      <w:tblPr>
        <w:tblStyle w:val="Jasnasiatkaakcent112"/>
        <w:tblW w:w="0" w:type="auto"/>
        <w:tblLook w:val="04A0" w:firstRow="1" w:lastRow="0" w:firstColumn="1" w:lastColumn="0" w:noHBand="0" w:noVBand="1"/>
      </w:tblPr>
      <w:tblGrid>
        <w:gridCol w:w="4606"/>
        <w:gridCol w:w="4606"/>
      </w:tblGrid>
      <w:tr w:rsidR="00B81115" w:rsidRPr="00A52EF3" w:rsidTr="00B81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vAlign w:val="center"/>
          </w:tcPr>
          <w:p w:rsidR="00B81115" w:rsidRPr="00A52EF3" w:rsidRDefault="00B81115" w:rsidP="00F25FCA">
            <w:pPr>
              <w:spacing w:line="360" w:lineRule="auto"/>
              <w:jc w:val="center"/>
              <w:rPr>
                <w:rFonts w:ascii="Times New Roman" w:hAnsi="Times New Roman"/>
                <w:sz w:val="24"/>
              </w:rPr>
            </w:pPr>
            <w:r w:rsidRPr="00A52EF3">
              <w:rPr>
                <w:rFonts w:ascii="Times New Roman" w:hAnsi="Times New Roman"/>
                <w:sz w:val="24"/>
              </w:rPr>
              <w:lastRenderedPageBreak/>
              <w:t>ANALIZA SWOT</w:t>
            </w:r>
          </w:p>
        </w:tc>
      </w:tr>
      <w:tr w:rsidR="00B81115" w:rsidRPr="00A52EF3" w:rsidTr="00B81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B81115" w:rsidRPr="00A52EF3" w:rsidRDefault="00B81115" w:rsidP="00F25FCA">
            <w:pPr>
              <w:spacing w:line="360" w:lineRule="auto"/>
              <w:jc w:val="center"/>
              <w:rPr>
                <w:rFonts w:ascii="Times New Roman" w:hAnsi="Times New Roman"/>
                <w:sz w:val="24"/>
              </w:rPr>
            </w:pPr>
            <w:r w:rsidRPr="00A52EF3">
              <w:rPr>
                <w:rFonts w:ascii="Times New Roman" w:hAnsi="Times New Roman"/>
                <w:sz w:val="24"/>
              </w:rPr>
              <w:t>MOCNE STRONY</w:t>
            </w:r>
          </w:p>
        </w:tc>
        <w:tc>
          <w:tcPr>
            <w:tcW w:w="4606" w:type="dxa"/>
            <w:vAlign w:val="center"/>
          </w:tcPr>
          <w:p w:rsidR="00B81115" w:rsidRPr="00A52EF3" w:rsidRDefault="00B81115" w:rsidP="00F25F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A52EF3">
              <w:rPr>
                <w:rFonts w:ascii="Times New Roman" w:hAnsi="Times New Roman" w:cs="Times New Roman"/>
                <w:b/>
                <w:sz w:val="24"/>
              </w:rPr>
              <w:t>SŁABE STRONY</w:t>
            </w:r>
          </w:p>
        </w:tc>
      </w:tr>
      <w:tr w:rsidR="00314327" w:rsidRPr="00A52EF3" w:rsidTr="005C4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Konieczność realizacji zobowiązań pakietu klimatyczno-energetycznego.</w:t>
            </w:r>
          </w:p>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Dostępność komunikacyjna w zakresie transportu zbiorowego.</w:t>
            </w:r>
          </w:p>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Możliwość zmiany na OZE dominujących indywidualnych źródła ciepła na obszarach wiejskich, odejście od paliw kopalnych.</w:t>
            </w:r>
          </w:p>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Modernizacja budynków użyteczności publicznej.</w:t>
            </w:r>
          </w:p>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Wprowadzanie obowiązku stosowania paliw ekologicznych, tj. zapewniających wysoki stopień czystości emisji spalin.</w:t>
            </w:r>
          </w:p>
          <w:p w:rsidR="00B34DD1" w:rsidRPr="00A52EF3" w:rsidRDefault="00B34DD1" w:rsidP="00F25FCA">
            <w:pPr>
              <w:pStyle w:val="Akapitzlist"/>
              <w:numPr>
                <w:ilvl w:val="0"/>
                <w:numId w:val="78"/>
              </w:numPr>
              <w:spacing w:line="360" w:lineRule="auto"/>
              <w:ind w:left="426"/>
              <w:rPr>
                <w:rFonts w:ascii="Times New Roman" w:hAnsi="Times New Roman"/>
                <w:b w:val="0"/>
                <w:sz w:val="24"/>
                <w:szCs w:val="24"/>
              </w:rPr>
            </w:pPr>
            <w:r w:rsidRPr="00A52EF3">
              <w:rPr>
                <w:rFonts w:ascii="Times New Roman" w:hAnsi="Times New Roman"/>
                <w:b w:val="0"/>
                <w:sz w:val="24"/>
                <w:szCs w:val="24"/>
              </w:rPr>
              <w:t xml:space="preserve">Możliwość zwiększenia niezależności </w:t>
            </w:r>
          </w:p>
          <w:p w:rsidR="00B34DD1" w:rsidRPr="00A52EF3" w:rsidRDefault="00B34DD1" w:rsidP="00F25FCA">
            <w:pPr>
              <w:pStyle w:val="Akapitzlist"/>
              <w:spacing w:line="360" w:lineRule="auto"/>
              <w:ind w:left="426"/>
              <w:rPr>
                <w:rFonts w:ascii="Times New Roman" w:hAnsi="Times New Roman"/>
                <w:b w:val="0"/>
                <w:sz w:val="24"/>
                <w:szCs w:val="24"/>
              </w:rPr>
            </w:pPr>
            <w:r w:rsidRPr="00A52EF3">
              <w:rPr>
                <w:rFonts w:ascii="Times New Roman" w:hAnsi="Times New Roman"/>
                <w:b w:val="0"/>
                <w:sz w:val="24"/>
                <w:szCs w:val="24"/>
              </w:rPr>
              <w:t xml:space="preserve">energetycznej w oparciu o lokalne źródła </w:t>
            </w:r>
          </w:p>
          <w:p w:rsidR="00B81115" w:rsidRPr="00A52EF3" w:rsidRDefault="00B34DD1" w:rsidP="00F25FCA">
            <w:pPr>
              <w:pStyle w:val="Akapitzlist"/>
              <w:spacing w:line="360" w:lineRule="auto"/>
              <w:ind w:left="426"/>
              <w:rPr>
                <w:rFonts w:ascii="Times New Roman" w:hAnsi="Times New Roman"/>
                <w:b w:val="0"/>
                <w:sz w:val="24"/>
                <w:szCs w:val="24"/>
              </w:rPr>
            </w:pPr>
            <w:r w:rsidRPr="00A52EF3">
              <w:rPr>
                <w:rFonts w:ascii="Times New Roman" w:hAnsi="Times New Roman"/>
                <w:b w:val="0"/>
                <w:sz w:val="24"/>
                <w:szCs w:val="24"/>
              </w:rPr>
              <w:t>energii, m.in.: biomasę.</w:t>
            </w:r>
          </w:p>
        </w:tc>
        <w:tc>
          <w:tcPr>
            <w:tcW w:w="4606" w:type="dxa"/>
            <w:shd w:val="clear" w:color="auto" w:fill="auto"/>
          </w:tcPr>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Negatywne  skutki  zmian  klimatycznych.</w:t>
            </w:r>
          </w:p>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Nieprzystosowanie dróg do ciężkiego transportu i  ich zły stan techniczny.</w:t>
            </w:r>
          </w:p>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Niska emisja, jako skutek powszechnego stosowania indywidualnych palenisk domowych.</w:t>
            </w:r>
          </w:p>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Brak sieciowych systemów zaopatrzenia w ciepło na terenach wiejskich.</w:t>
            </w:r>
          </w:p>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Wysokie straty ciepła po stronie użytkowników (budynki mieszkalne o słabej charakterystyce energetycznej).</w:t>
            </w:r>
          </w:p>
          <w:p w:rsidR="00B34DD1" w:rsidRPr="00A52EF3" w:rsidRDefault="00B34DD1" w:rsidP="00F25FCA">
            <w:pPr>
              <w:pStyle w:val="Akapitzlist"/>
              <w:numPr>
                <w:ilvl w:val="0"/>
                <w:numId w:val="79"/>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Niestabilność / niepewność prawa w zakresie energetyki, w tym OZE</w:t>
            </w:r>
          </w:p>
          <w:p w:rsidR="00B81115" w:rsidRPr="00A52EF3" w:rsidRDefault="00B81115" w:rsidP="00F25FCA">
            <w:p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F491C" w:rsidRPr="00A52EF3" w:rsidRDefault="000F491C" w:rsidP="00F25FCA">
            <w:p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F491C" w:rsidRPr="00A52EF3" w:rsidRDefault="000F491C" w:rsidP="00F25FCA">
            <w:p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81115" w:rsidRPr="00A52EF3" w:rsidTr="00B81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B81115" w:rsidRPr="00A52EF3" w:rsidRDefault="00B81115" w:rsidP="00F25FCA">
            <w:pPr>
              <w:spacing w:line="360" w:lineRule="auto"/>
              <w:ind w:left="426"/>
              <w:jc w:val="center"/>
              <w:rPr>
                <w:rFonts w:ascii="Times New Roman" w:hAnsi="Times New Roman"/>
                <w:sz w:val="24"/>
                <w:szCs w:val="24"/>
              </w:rPr>
            </w:pPr>
            <w:r w:rsidRPr="00A52EF3">
              <w:rPr>
                <w:rFonts w:ascii="Times New Roman" w:hAnsi="Times New Roman"/>
                <w:sz w:val="24"/>
                <w:szCs w:val="24"/>
              </w:rPr>
              <w:t>SZANSE</w:t>
            </w:r>
          </w:p>
        </w:tc>
        <w:tc>
          <w:tcPr>
            <w:tcW w:w="4606" w:type="dxa"/>
            <w:vAlign w:val="center"/>
          </w:tcPr>
          <w:p w:rsidR="00B81115" w:rsidRPr="00A52EF3" w:rsidRDefault="00B81115" w:rsidP="00F25FCA">
            <w:pPr>
              <w:spacing w:line="360" w:lineRule="auto"/>
              <w:ind w:left="4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52EF3">
              <w:rPr>
                <w:rFonts w:ascii="Times New Roman" w:hAnsi="Times New Roman" w:cs="Times New Roman"/>
                <w:b/>
                <w:sz w:val="24"/>
                <w:szCs w:val="24"/>
              </w:rPr>
              <w:t>ZAGROŻENIA</w:t>
            </w:r>
          </w:p>
        </w:tc>
      </w:tr>
      <w:tr w:rsidR="00314327" w:rsidRPr="00A52EF3" w:rsidTr="005C4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Rozbudowa krajowego systemu transportowego w regionie świętokrzyskim.</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Przechodzenie na paliwa ekologiczne: gaz, paliwa odnawialne (biopaliwa).</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Modernizacja kotłowni tradycyjnych.</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Rozbudowa sieci gazowej na terenie gminy.</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Termomodernizacja budynków.</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lastRenderedPageBreak/>
              <w:t>Współpraca na rzecz kierunków zmniejszenia zanieczyszczeń z zakładów przemysłowych na terenie powiatu.</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Wzrost roli środków transportu przyjaznych środowisku: rower (krótki dystanse) i transport zbiorowy (długie dystanse).</w:t>
            </w:r>
          </w:p>
          <w:p w:rsidR="00B34DD1"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Spełnienie przez zakłady przemysłowe norm dotyczących emisji zanieczyszczeń.</w:t>
            </w:r>
          </w:p>
          <w:p w:rsidR="00B81115" w:rsidRPr="00A52EF3" w:rsidRDefault="00B34DD1" w:rsidP="00F25FCA">
            <w:pPr>
              <w:pStyle w:val="Akapitzlist"/>
              <w:numPr>
                <w:ilvl w:val="0"/>
                <w:numId w:val="80"/>
              </w:numPr>
              <w:spacing w:line="360" w:lineRule="auto"/>
              <w:ind w:left="426"/>
              <w:rPr>
                <w:rFonts w:ascii="Times New Roman" w:hAnsi="Times New Roman"/>
                <w:b w:val="0"/>
                <w:sz w:val="24"/>
                <w:szCs w:val="24"/>
              </w:rPr>
            </w:pPr>
            <w:r w:rsidRPr="00A52EF3">
              <w:rPr>
                <w:rFonts w:ascii="Times New Roman" w:hAnsi="Times New Roman"/>
                <w:b w:val="0"/>
                <w:sz w:val="24"/>
                <w:szCs w:val="24"/>
              </w:rPr>
              <w:t>Wzrost świadomości ekologicznej oraz zamożności mieszkańców – zaprzestanie spalania odpadów.</w:t>
            </w:r>
          </w:p>
        </w:tc>
        <w:tc>
          <w:tcPr>
            <w:tcW w:w="4606" w:type="dxa"/>
            <w:shd w:val="clear" w:color="auto" w:fill="auto"/>
          </w:tcPr>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lastRenderedPageBreak/>
              <w:t>Wzrost natężenia ruchu pojazdów przy braku wydajnego systemu komunikacji i związane z tym zanieczyszczenie środowiska i hałas.</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Ponadlokalność zagrożeń związanych z</w:t>
            </w:r>
          </w:p>
          <w:p w:rsidR="00B34DD1" w:rsidRPr="00A52EF3" w:rsidRDefault="00B34DD1" w:rsidP="00F25FCA">
            <w:pPr>
              <w:pStyle w:val="Akapitzlist"/>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zanieczyszczeniem powietrza.</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Stosowanie indywidualnego ogrzewania (węglowego).</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Spalanie odpadów.</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lastRenderedPageBreak/>
              <w:t>Wzrost liczby gospodarstw domowych.</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Brak zainteresowania zakładów przemysłowych wdrażaniem systemów zarządzania środowiskiem (np. ISO 14000).</w:t>
            </w:r>
          </w:p>
          <w:p w:rsidR="00B34DD1"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Brak funduszy na inwestycje zmierzające do poprawy jakości powietrza atmosferycznego.</w:t>
            </w:r>
          </w:p>
          <w:p w:rsidR="00B81115" w:rsidRPr="00A52EF3" w:rsidRDefault="00B34DD1" w:rsidP="00F25FCA">
            <w:pPr>
              <w:pStyle w:val="Akapitzlist"/>
              <w:numPr>
                <w:ilvl w:val="0"/>
                <w:numId w:val="80"/>
              </w:numPr>
              <w:spacing w:line="360" w:lineRule="auto"/>
              <w:ind w:left="4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2EF3">
              <w:rPr>
                <w:rFonts w:ascii="Times New Roman" w:hAnsi="Times New Roman" w:cs="Times New Roman"/>
                <w:sz w:val="24"/>
                <w:szCs w:val="24"/>
              </w:rPr>
              <w:t>Wykorzystanie nowoczesnych kotłów o wyższej efektywności w nowopowstającym budownictwie jednorodzinnym.</w:t>
            </w:r>
          </w:p>
        </w:tc>
      </w:tr>
    </w:tbl>
    <w:p w:rsidR="00545ED4" w:rsidRPr="00A52EF3" w:rsidRDefault="00545ED4" w:rsidP="00F25FCA">
      <w:pPr>
        <w:spacing w:line="360" w:lineRule="auto"/>
        <w:rPr>
          <w:rFonts w:ascii="Times New Roman" w:hAnsi="Times New Roman" w:cs="Times New Roman"/>
          <w:sz w:val="20"/>
        </w:rPr>
      </w:pPr>
    </w:p>
    <w:p w:rsidR="000A03BE" w:rsidRPr="00A52EF3" w:rsidRDefault="009511B5" w:rsidP="00545ED4">
      <w:pPr>
        <w:pStyle w:val="Nagwek1"/>
        <w:numPr>
          <w:ilvl w:val="0"/>
          <w:numId w:val="86"/>
        </w:numPr>
        <w:rPr>
          <w:rFonts w:ascii="Times New Roman" w:hAnsi="Times New Roman" w:cs="Times New Roman"/>
          <w:color w:val="auto"/>
        </w:rPr>
      </w:pPr>
      <w:bookmarkStart w:id="95" w:name="_Toc470764035"/>
      <w:r w:rsidRPr="00A52EF3">
        <w:rPr>
          <w:rFonts w:ascii="Times New Roman" w:hAnsi="Times New Roman" w:cs="Times New Roman"/>
          <w:color w:val="auto"/>
        </w:rPr>
        <w:t>Krótko/ średnioterminowe działa</w:t>
      </w:r>
      <w:r w:rsidR="00554F04" w:rsidRPr="00A52EF3">
        <w:rPr>
          <w:rFonts w:ascii="Times New Roman" w:hAnsi="Times New Roman" w:cs="Times New Roman"/>
          <w:color w:val="auto"/>
        </w:rPr>
        <w:t>nia/ zadania na lata 2016 – 2020</w:t>
      </w:r>
      <w:r w:rsidRPr="00A52EF3">
        <w:rPr>
          <w:rFonts w:ascii="Times New Roman" w:hAnsi="Times New Roman" w:cs="Times New Roman"/>
          <w:color w:val="auto"/>
        </w:rPr>
        <w:t xml:space="preserve"> w Gminie Brody</w:t>
      </w:r>
      <w:bookmarkEnd w:id="95"/>
    </w:p>
    <w:p w:rsidR="00545ED4" w:rsidRPr="00A52EF3" w:rsidRDefault="00545ED4" w:rsidP="00545ED4">
      <w:pPr>
        <w:rPr>
          <w:rFonts w:ascii="Times New Roman" w:hAnsi="Times New Roman" w:cs="Times New Roman"/>
        </w:rPr>
      </w:pPr>
    </w:p>
    <w:p w:rsidR="00554F04" w:rsidRPr="00A52EF3" w:rsidRDefault="00554F04" w:rsidP="00AE756A">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Zadania na lata 2016-2020</w:t>
      </w:r>
      <w:r w:rsidR="000A03BE" w:rsidRPr="00A52EF3">
        <w:rPr>
          <w:rFonts w:ascii="Times New Roman" w:hAnsi="Times New Roman" w:cs="Times New Roman"/>
          <w:sz w:val="24"/>
          <w:szCs w:val="24"/>
        </w:rPr>
        <w:t xml:space="preserve">, dla których istnieje wysokie prawdopodobieństwo realizacji to termomodernizacja budynków użyteczności publicznej, wykorzystanie odnawialnych źródeł energii w budynkach użyteczności publicznej oraz zabudowie jednorodzinnej </w:t>
      </w:r>
      <w:r w:rsidR="00DC4C8E" w:rsidRPr="00A52EF3">
        <w:rPr>
          <w:rFonts w:ascii="Times New Roman" w:hAnsi="Times New Roman" w:cs="Times New Roman"/>
          <w:sz w:val="24"/>
          <w:szCs w:val="24"/>
        </w:rPr>
        <w:br/>
      </w:r>
      <w:r w:rsidR="000A03BE" w:rsidRPr="00A52EF3">
        <w:rPr>
          <w:rFonts w:ascii="Times New Roman" w:hAnsi="Times New Roman" w:cs="Times New Roman"/>
          <w:sz w:val="24"/>
          <w:szCs w:val="24"/>
        </w:rPr>
        <w:t xml:space="preserve">i wielorodzinnej. Ponadto planuje się termomodernizację budynków mieszkalnych oraz, poprzez wymianę źródeł ciepła, ograniczenie emisji. Aby osiągnąć powyższe założenia </w:t>
      </w:r>
      <w:r w:rsidR="00DC4C8E" w:rsidRPr="00A52EF3">
        <w:rPr>
          <w:rFonts w:ascii="Times New Roman" w:hAnsi="Times New Roman" w:cs="Times New Roman"/>
          <w:sz w:val="24"/>
          <w:szCs w:val="24"/>
        </w:rPr>
        <w:br/>
      </w:r>
      <w:r w:rsidR="000A03BE" w:rsidRPr="00A52EF3">
        <w:rPr>
          <w:rFonts w:ascii="Times New Roman" w:hAnsi="Times New Roman" w:cs="Times New Roman"/>
          <w:sz w:val="24"/>
          <w:szCs w:val="24"/>
        </w:rPr>
        <w:t xml:space="preserve">w ramach działań „miękkich” prowadzona będzie edukacja mieszkańców, zwiększająca świadomość ekologiczną i promocja wykorzystania w gospodarstwach odnawialnych źródeł energii. </w:t>
      </w:r>
      <w:r w:rsidR="001A4243" w:rsidRPr="00A52EF3">
        <w:rPr>
          <w:rFonts w:ascii="Times New Roman" w:hAnsi="Times New Roman" w:cs="Times New Roman"/>
          <w:sz w:val="24"/>
          <w:szCs w:val="24"/>
        </w:rPr>
        <w:t>Planuje się również ograniczenie emisji do atmosfery powodowanej przez transport, w tym transport publiczny. Osiągnięte to zostanie poprzez</w:t>
      </w:r>
      <w:r w:rsidR="00854FFB" w:rsidRPr="00A52EF3">
        <w:rPr>
          <w:rFonts w:ascii="Times New Roman" w:hAnsi="Times New Roman" w:cs="Times New Roman"/>
          <w:sz w:val="24"/>
          <w:szCs w:val="24"/>
        </w:rPr>
        <w:t xml:space="preserve"> systematyczną</w:t>
      </w:r>
      <w:r w:rsidR="001A4243" w:rsidRPr="00A52EF3">
        <w:rPr>
          <w:rFonts w:ascii="Times New Roman" w:hAnsi="Times New Roman" w:cs="Times New Roman"/>
          <w:sz w:val="24"/>
          <w:szCs w:val="24"/>
        </w:rPr>
        <w:t xml:space="preserve"> </w:t>
      </w:r>
      <w:r w:rsidR="00854FFB" w:rsidRPr="00A52EF3">
        <w:rPr>
          <w:rFonts w:ascii="Times New Roman" w:hAnsi="Times New Roman" w:cs="Times New Roman"/>
          <w:sz w:val="24"/>
          <w:szCs w:val="24"/>
        </w:rPr>
        <w:t>modernizację dróg gminnych w każdej z miejscowości. Kolejnym działaniem jest modernizacja taboru gminnego, w tym transportu publicznego, gimbusów, innych autobusów szkolnych, pojazdów ośrodka pomocy społecznej i innych pojazdów nad, któr</w:t>
      </w:r>
      <w:r w:rsidRPr="00A52EF3">
        <w:rPr>
          <w:rFonts w:ascii="Times New Roman" w:hAnsi="Times New Roman" w:cs="Times New Roman"/>
          <w:sz w:val="24"/>
          <w:szCs w:val="24"/>
        </w:rPr>
        <w:t>ymi pieczę sprawuje Urząd Gminy.</w:t>
      </w:r>
    </w:p>
    <w:p w:rsidR="002F103D" w:rsidRPr="00A52EF3" w:rsidRDefault="00CC1740" w:rsidP="00AE756A">
      <w:pPr>
        <w:spacing w:line="360" w:lineRule="auto"/>
        <w:jc w:val="both"/>
        <w:rPr>
          <w:rFonts w:ascii="Times New Roman" w:eastAsia="Times New Roman" w:hAnsi="Times New Roman" w:cs="Times New Roman"/>
          <w:iCs/>
          <w:color w:val="000000"/>
          <w:sz w:val="24"/>
          <w:szCs w:val="24"/>
          <w:lang w:eastAsia="pl-PL"/>
        </w:rPr>
      </w:pPr>
      <w:r w:rsidRPr="00A52EF3">
        <w:rPr>
          <w:rFonts w:ascii="Times New Roman" w:hAnsi="Times New Roman" w:cs="Times New Roman"/>
          <w:sz w:val="24"/>
          <w:szCs w:val="24"/>
        </w:rPr>
        <w:lastRenderedPageBreak/>
        <w:t>Typy projektów</w:t>
      </w:r>
      <w:r w:rsidR="00554F04" w:rsidRPr="00A52EF3">
        <w:rPr>
          <w:rFonts w:ascii="Times New Roman" w:hAnsi="Times New Roman" w:cs="Times New Roman"/>
          <w:sz w:val="24"/>
          <w:szCs w:val="24"/>
        </w:rPr>
        <w:t xml:space="preserve"> możliwych do realizacji w obszarach istotnych dla gminy przez interesariuszy oraz dotąd niezidentyfikowanych interesariuszy</w:t>
      </w:r>
      <w:r w:rsidR="002F103D" w:rsidRPr="00A52EF3">
        <w:rPr>
          <w:rFonts w:ascii="Times New Roman" w:hAnsi="Times New Roman" w:cs="Times New Roman"/>
          <w:sz w:val="24"/>
          <w:szCs w:val="24"/>
        </w:rPr>
        <w:t xml:space="preserve"> </w:t>
      </w:r>
      <w:r w:rsidR="002F103D" w:rsidRPr="00A52EF3">
        <w:rPr>
          <w:rFonts w:ascii="Times New Roman" w:eastAsia="Times New Roman" w:hAnsi="Times New Roman" w:cs="Times New Roman"/>
          <w:iCs/>
          <w:color w:val="000000"/>
          <w:sz w:val="24"/>
          <w:szCs w:val="24"/>
          <w:lang w:eastAsia="pl-PL"/>
        </w:rPr>
        <w:t>z projektu Szczegółowego opisu osi priorytetowych Regionalnego Programu Operacyjnego Województwa Świętokrzyskiego dla osi priorytetowej.</w:t>
      </w:r>
    </w:p>
    <w:p w:rsidR="002F103D" w:rsidRPr="00A52EF3" w:rsidRDefault="002F103D" w:rsidP="00AE756A">
      <w:pPr>
        <w:spacing w:line="360" w:lineRule="auto"/>
        <w:jc w:val="both"/>
        <w:rPr>
          <w:rFonts w:ascii="Times New Roman" w:eastAsia="Times New Roman" w:hAnsi="Times New Roman" w:cs="Times New Roman"/>
          <w:b/>
          <w:bCs/>
          <w:iCs/>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iCs/>
          <w:color w:val="000000"/>
          <w:sz w:val="24"/>
          <w:szCs w:val="24"/>
          <w:lang w:eastAsia="pl-PL"/>
        </w:rPr>
      </w:pPr>
      <w:r w:rsidRPr="00A52EF3">
        <w:rPr>
          <w:rFonts w:ascii="Times New Roman" w:eastAsia="Times New Roman" w:hAnsi="Times New Roman" w:cs="Times New Roman"/>
          <w:b/>
          <w:bCs/>
          <w:iCs/>
          <w:color w:val="000000"/>
          <w:sz w:val="24"/>
          <w:szCs w:val="24"/>
          <w:lang w:eastAsia="pl-PL"/>
        </w:rPr>
        <w:t>3. Efektywna i zielona energia, </w:t>
      </w:r>
      <w:r w:rsidRPr="00A52EF3">
        <w:rPr>
          <w:rFonts w:ascii="Times New Roman" w:eastAsia="Times New Roman" w:hAnsi="Times New Roman" w:cs="Times New Roman"/>
          <w:iCs/>
          <w:color w:val="000000"/>
          <w:sz w:val="24"/>
          <w:szCs w:val="24"/>
          <w:lang w:eastAsia="pl-PL"/>
        </w:rPr>
        <w:t>które będą mogły być dofinansowane, jeżeli będą wynikać z przygotowanych przez samorządy </w:t>
      </w:r>
      <w:r w:rsidRPr="00A52EF3">
        <w:rPr>
          <w:rFonts w:ascii="Times New Roman" w:eastAsia="Times New Roman" w:hAnsi="Times New Roman" w:cs="Times New Roman"/>
          <w:b/>
          <w:bCs/>
          <w:iCs/>
          <w:color w:val="000000"/>
          <w:sz w:val="24"/>
          <w:szCs w:val="24"/>
          <w:lang w:eastAsia="pl-PL"/>
        </w:rPr>
        <w:t>Planów Gospodarki Niskoemisyjnej</w:t>
      </w:r>
      <w:r w:rsidRPr="00A52EF3">
        <w:rPr>
          <w:rFonts w:ascii="Times New Roman" w:eastAsia="Times New Roman" w:hAnsi="Times New Roman" w:cs="Times New Roman"/>
          <w:iCs/>
          <w:color w:val="000000"/>
          <w:sz w:val="24"/>
          <w:szCs w:val="24"/>
          <w:lang w:eastAsia="pl-PL"/>
        </w:rPr>
        <w:t>:</w:t>
      </w:r>
    </w:p>
    <w:p w:rsidR="002F103D" w:rsidRPr="00A52EF3" w:rsidRDefault="002F103D" w:rsidP="00AE756A">
      <w:pPr>
        <w:spacing w:line="360" w:lineRule="auto"/>
        <w:jc w:val="both"/>
        <w:rPr>
          <w:rFonts w:ascii="Times New Roman" w:eastAsia="Times New Roman" w:hAnsi="Times New Roman" w:cs="Times New Roman"/>
          <w:iCs/>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W ramach </w:t>
      </w:r>
      <w:r w:rsidRPr="00A52EF3">
        <w:rPr>
          <w:rFonts w:ascii="Times New Roman" w:eastAsia="Times New Roman" w:hAnsi="Times New Roman" w:cs="Times New Roman"/>
          <w:b/>
          <w:bCs/>
          <w:iCs/>
          <w:color w:val="000000"/>
          <w:sz w:val="24"/>
          <w:szCs w:val="24"/>
          <w:lang w:eastAsia="pl-PL"/>
        </w:rPr>
        <w:t>Działania 3.1 Wytwarzanie i dystrybucja energii pochodzącej ze źródeł odnawialnych</w:t>
      </w:r>
      <w:r w:rsidRPr="00A52EF3">
        <w:rPr>
          <w:rFonts w:ascii="Times New Roman" w:eastAsia="Times New Roman" w:hAnsi="Times New Roman" w:cs="Times New Roman"/>
          <w:iCs/>
          <w:color w:val="000000"/>
          <w:sz w:val="24"/>
          <w:szCs w:val="24"/>
          <w:lang w:eastAsia="pl-PL"/>
        </w:rPr>
        <w:t> wsparcie zostanie udzielone na projekty polegające na:</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 xml:space="preserve">budowie, przebudowie i modernizacji (w tym zakupie urządzeń) infrastruktury, służącej do wytwarzania energii elektrycznej i cieplnej, pochodzącej ze wszystkich źródeł odnawialnych (energia wodna, wiatru, słoneczna, geotermalna, biogazu, biomasy) </w:t>
      </w:r>
      <w:r w:rsidRPr="00A52EF3">
        <w:rPr>
          <w:rFonts w:ascii="Times New Roman" w:eastAsia="Times New Roman" w:hAnsi="Times New Roman" w:cs="Times New Roman"/>
          <w:iCs/>
          <w:color w:val="000000"/>
          <w:sz w:val="24"/>
          <w:szCs w:val="24"/>
          <w:lang w:eastAsia="pl-PL"/>
        </w:rPr>
        <w:br/>
        <w:t>z możliwością </w:t>
      </w:r>
      <w:r w:rsidRPr="00A52EF3">
        <w:rPr>
          <w:rFonts w:ascii="Times New Roman" w:eastAsia="Times New Roman" w:hAnsi="Times New Roman" w:cs="Times New Roman"/>
          <w:iCs/>
          <w:color w:val="000000"/>
          <w:sz w:val="24"/>
          <w:szCs w:val="24"/>
          <w:u w:val="single"/>
          <w:lang w:eastAsia="pl-PL"/>
        </w:rPr>
        <w:t>podłączenia do sieci dystrybucyjnej/ przesyłowej.</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budowie lub modernizacji jednostek wytwarzania energii elektrycznej i ciepła w wysokosprawnej kogeneracji z OZE. z możliwością</w:t>
      </w:r>
      <w:r w:rsidRPr="00A52EF3">
        <w:rPr>
          <w:rFonts w:ascii="Times New Roman" w:eastAsia="Times New Roman" w:hAnsi="Times New Roman" w:cs="Times New Roman"/>
          <w:iCs/>
          <w:color w:val="000000"/>
          <w:sz w:val="24"/>
          <w:szCs w:val="24"/>
          <w:u w:val="single"/>
          <w:lang w:eastAsia="pl-PL"/>
        </w:rPr>
        <w:t> podłączenia do sieci dystrybucyjnej/ przesyłowej</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 xml:space="preserve">budowie lub modernizacji jednostek wytwarzania energii elektrycznej, ciepła i chłodu </w:t>
      </w:r>
      <w:r w:rsidRPr="00A52EF3">
        <w:rPr>
          <w:rFonts w:ascii="Times New Roman" w:eastAsia="Times New Roman" w:hAnsi="Times New Roman" w:cs="Times New Roman"/>
          <w:iCs/>
          <w:color w:val="000000"/>
          <w:sz w:val="24"/>
          <w:szCs w:val="24"/>
          <w:lang w:eastAsia="pl-PL"/>
        </w:rPr>
        <w:br/>
        <w:t>w trigeneracji z OZE, mające na celu zmniejszenie kosztu i ilości energii pierwotnej niezbędnej do wytworzenia każdej z tych form energii odrębnie z możliwością</w:t>
      </w:r>
      <w:r w:rsidRPr="00A52EF3">
        <w:rPr>
          <w:rFonts w:ascii="Times New Roman" w:eastAsia="Times New Roman" w:hAnsi="Times New Roman" w:cs="Times New Roman"/>
          <w:iCs/>
          <w:color w:val="000000"/>
          <w:sz w:val="24"/>
          <w:szCs w:val="24"/>
          <w:u w:val="single"/>
          <w:lang w:eastAsia="pl-PL"/>
        </w:rPr>
        <w:t>podłączenia do sieci dystrybucyjnej/ przesyłowej</w:t>
      </w:r>
      <w:r w:rsidRPr="00A52EF3">
        <w:rPr>
          <w:rFonts w:ascii="Times New Roman" w:eastAsia="Times New Roman" w:hAnsi="Times New Roman" w:cs="Times New Roman"/>
          <w:iCs/>
          <w:color w:val="000000"/>
          <w:sz w:val="24"/>
          <w:szCs w:val="24"/>
          <w:lang w:eastAsia="pl-PL"/>
        </w:rPr>
        <w:t> </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budowa i montaż instalacji służącej do produkcji biokomponentów i biopaliw</w:t>
      </w:r>
      <w:r w:rsidRPr="00A52EF3">
        <w:rPr>
          <w:rFonts w:ascii="Times New Roman" w:eastAsia="Times New Roman" w:hAnsi="Times New Roman" w:cs="Times New Roman"/>
          <w:b/>
          <w:bCs/>
          <w:iCs/>
          <w:color w:val="000000"/>
          <w:sz w:val="24"/>
          <w:szCs w:val="24"/>
          <w:lang w:eastAsia="pl-PL"/>
        </w:rPr>
        <w:t> </w:t>
      </w:r>
      <w:r w:rsidRPr="00A52EF3">
        <w:rPr>
          <w:rFonts w:ascii="Times New Roman" w:eastAsia="Times New Roman" w:hAnsi="Times New Roman" w:cs="Times New Roman"/>
          <w:iCs/>
          <w:color w:val="000000"/>
          <w:sz w:val="24"/>
          <w:szCs w:val="24"/>
          <w:lang w:eastAsia="pl-PL"/>
        </w:rPr>
        <w:t xml:space="preserve">(drugiej </w:t>
      </w:r>
      <w:r w:rsidRPr="00A52EF3">
        <w:rPr>
          <w:rFonts w:ascii="Times New Roman" w:eastAsia="Times New Roman" w:hAnsi="Times New Roman" w:cs="Times New Roman"/>
          <w:iCs/>
          <w:color w:val="000000"/>
          <w:sz w:val="24"/>
          <w:szCs w:val="24"/>
          <w:lang w:eastAsia="pl-PL"/>
        </w:rPr>
        <w:br/>
        <w:t>i trzeciej generacji).</w:t>
      </w:r>
    </w:p>
    <w:p w:rsidR="002F103D" w:rsidRPr="00A52EF3" w:rsidRDefault="002F103D" w:rsidP="00AE756A">
      <w:pPr>
        <w:spacing w:line="360" w:lineRule="auto"/>
        <w:jc w:val="both"/>
        <w:rPr>
          <w:rFonts w:ascii="Times New Roman" w:eastAsia="Times New Roman" w:hAnsi="Times New Roman" w:cs="Times New Roman"/>
          <w:b/>
          <w:bCs/>
          <w:iCs/>
          <w:color w:val="000000"/>
          <w:sz w:val="24"/>
          <w:szCs w:val="24"/>
          <w:lang w:eastAsia="pl-PL"/>
        </w:rPr>
      </w:pPr>
      <w:r w:rsidRPr="00A52EF3">
        <w:rPr>
          <w:rFonts w:ascii="Times New Roman" w:eastAsia="Times New Roman" w:hAnsi="Times New Roman" w:cs="Times New Roman"/>
          <w:b/>
          <w:bCs/>
          <w:iCs/>
          <w:color w:val="000000"/>
          <w:sz w:val="24"/>
          <w:szCs w:val="24"/>
          <w:lang w:eastAsia="pl-PL"/>
        </w:rPr>
        <w:t> </w:t>
      </w:r>
    </w:p>
    <w:p w:rsidR="00DC4C8E" w:rsidRPr="00A52EF3" w:rsidRDefault="00DC4C8E" w:rsidP="00AE756A">
      <w:pPr>
        <w:spacing w:line="360" w:lineRule="auto"/>
        <w:jc w:val="both"/>
        <w:rPr>
          <w:rFonts w:ascii="Times New Roman" w:eastAsia="Times New Roman" w:hAnsi="Times New Roman" w:cs="Times New Roman"/>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lastRenderedPageBreak/>
        <w:t>W ramach </w:t>
      </w:r>
      <w:r w:rsidRPr="00A52EF3">
        <w:rPr>
          <w:rFonts w:ascii="Times New Roman" w:eastAsia="Times New Roman" w:hAnsi="Times New Roman" w:cs="Times New Roman"/>
          <w:b/>
          <w:bCs/>
          <w:iCs/>
          <w:color w:val="000000"/>
          <w:sz w:val="24"/>
          <w:szCs w:val="24"/>
          <w:lang w:eastAsia="pl-PL"/>
        </w:rPr>
        <w:t xml:space="preserve">Działania 3.2 Efektywność energetyczna i odnawialne źródła energii </w:t>
      </w:r>
      <w:r w:rsidRPr="00A52EF3">
        <w:rPr>
          <w:rFonts w:ascii="Times New Roman" w:eastAsia="Times New Roman" w:hAnsi="Times New Roman" w:cs="Times New Roman"/>
          <w:b/>
          <w:bCs/>
          <w:iCs/>
          <w:color w:val="000000"/>
          <w:sz w:val="24"/>
          <w:szCs w:val="24"/>
          <w:lang w:eastAsia="pl-PL"/>
        </w:rPr>
        <w:br/>
        <w:t>w przedsiębiorstwach </w:t>
      </w:r>
      <w:r w:rsidRPr="00A52EF3">
        <w:rPr>
          <w:rFonts w:ascii="Times New Roman" w:eastAsia="Times New Roman" w:hAnsi="Times New Roman" w:cs="Times New Roman"/>
          <w:iCs/>
          <w:color w:val="000000"/>
          <w:sz w:val="24"/>
          <w:szCs w:val="24"/>
          <w:lang w:eastAsia="pl-PL"/>
        </w:rPr>
        <w:t>wsparciem zostaną objęte projekty dotyczące poprawy efektywności energetycznej (z uwzględnieniem OZE wykorzystywanej na potrzeby własne) mikro, małych i średnich przedsiębiorstw, mające na celu zmniejszenie zużycia i strat wody, energii elektrycznej, energii cieplnej, polegające na:</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modernizacji i rozbudowie linii produkcyjnych ( w tym zakup urządzeń, maszyn) na bardziej efektywne energetycznie</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głębokiej, kompleksowej modernizacji energetycznej budynków w przedsiębiorstwach,</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70C0"/>
          <w:sz w:val="24"/>
          <w:szCs w:val="24"/>
          <w:lang w:eastAsia="pl-PL"/>
        </w:rPr>
        <w:t>-      </w:t>
      </w:r>
      <w:r w:rsidRPr="00A52EF3">
        <w:rPr>
          <w:rFonts w:ascii="Times New Roman" w:eastAsia="Times New Roman" w:hAnsi="Times New Roman" w:cs="Times New Roman"/>
          <w:iCs/>
          <w:color w:val="000000"/>
          <w:sz w:val="24"/>
          <w:szCs w:val="24"/>
          <w:lang w:eastAsia="pl-PL"/>
        </w:rPr>
        <w:t>zastosowaniu technologii efektywnych energetycznie w przedsiębiorstwach,</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color w:val="0070C0"/>
          <w:sz w:val="24"/>
          <w:szCs w:val="24"/>
          <w:lang w:eastAsia="pl-PL"/>
        </w:rPr>
        <w:t>-      </w:t>
      </w:r>
      <w:r w:rsidRPr="00A52EF3">
        <w:rPr>
          <w:rFonts w:ascii="Times New Roman" w:eastAsia="Times New Roman" w:hAnsi="Times New Roman" w:cs="Times New Roman"/>
          <w:iCs/>
          <w:color w:val="000000"/>
          <w:sz w:val="24"/>
          <w:szCs w:val="24"/>
          <w:lang w:eastAsia="pl-PL"/>
        </w:rPr>
        <w:t>zastosowaniu energooszczędnych (energia elektryczna, ciepło, chłód, woda) technologii produkcji i użytkowania energii</w:t>
      </w:r>
    </w:p>
    <w:p w:rsidR="00DC4C8E" w:rsidRPr="00A52EF3" w:rsidRDefault="00DC4C8E" w:rsidP="00AE756A">
      <w:pPr>
        <w:spacing w:line="360" w:lineRule="auto"/>
        <w:jc w:val="both"/>
        <w:rPr>
          <w:rFonts w:ascii="Times New Roman" w:eastAsia="Times New Roman" w:hAnsi="Times New Roman" w:cs="Times New Roman"/>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Wprowadzenie systemu zarządzania energią w oparciu o TIK nie może być  odrębnym projektem, może stanowić jedynie element projektu.</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Wśród ww. projektów wsparcie uzyskają również przedsięwzięcia polegające na wykorzystaniu surowców wtórnych  w procesie produkcyjnym, w wyniku czego podniesiona zostanie efektywność energetyczna i kosztowa przemysłu i usług w regionie.</w:t>
      </w:r>
    </w:p>
    <w:p w:rsidR="002F103D" w:rsidRPr="00A52EF3" w:rsidRDefault="002F103D" w:rsidP="00AE756A">
      <w:pPr>
        <w:spacing w:line="360" w:lineRule="auto"/>
        <w:jc w:val="both"/>
        <w:rPr>
          <w:rFonts w:ascii="Times New Roman" w:eastAsia="Times New Roman" w:hAnsi="Times New Roman" w:cs="Times New Roman"/>
          <w:iCs/>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W ramach </w:t>
      </w:r>
      <w:r w:rsidRPr="00A52EF3">
        <w:rPr>
          <w:rFonts w:ascii="Times New Roman" w:eastAsia="Times New Roman" w:hAnsi="Times New Roman" w:cs="Times New Roman"/>
          <w:b/>
          <w:bCs/>
          <w:iCs/>
          <w:color w:val="000000"/>
          <w:sz w:val="24"/>
          <w:szCs w:val="24"/>
          <w:lang w:eastAsia="pl-PL"/>
        </w:rPr>
        <w:t>Działania 3.3 Poprawa efektywności energetycznej z wykorzystaniem odnawialnych źródeł energii w sektorze publicznym i mieszkaniowym</w:t>
      </w:r>
      <w:r w:rsidRPr="00A52EF3">
        <w:rPr>
          <w:rFonts w:ascii="Times New Roman" w:eastAsia="Times New Roman" w:hAnsi="Times New Roman" w:cs="Times New Roman"/>
          <w:iCs/>
          <w:color w:val="000000"/>
          <w:sz w:val="24"/>
          <w:szCs w:val="24"/>
          <w:lang w:eastAsia="pl-PL"/>
        </w:rPr>
        <w:t> wsparcie otrzymają projekty dotyczące </w:t>
      </w:r>
      <w:r w:rsidRPr="00A52EF3">
        <w:rPr>
          <w:rFonts w:ascii="Times New Roman" w:eastAsia="Times New Roman" w:hAnsi="Times New Roman" w:cs="Times New Roman"/>
          <w:b/>
          <w:bCs/>
          <w:iCs/>
          <w:color w:val="000000"/>
          <w:sz w:val="24"/>
          <w:szCs w:val="24"/>
          <w:lang w:eastAsia="pl-PL"/>
        </w:rPr>
        <w:t>głębokiej modernizacji</w:t>
      </w:r>
      <w:r w:rsidRPr="00A52EF3">
        <w:rPr>
          <w:rFonts w:ascii="Times New Roman" w:eastAsia="Times New Roman" w:hAnsi="Times New Roman" w:cs="Times New Roman"/>
          <w:iCs/>
          <w:color w:val="000000"/>
          <w:sz w:val="24"/>
          <w:szCs w:val="24"/>
          <w:lang w:eastAsia="pl-PL"/>
        </w:rPr>
        <w:t> energetycznej </w:t>
      </w:r>
      <w:r w:rsidRPr="00A52EF3">
        <w:rPr>
          <w:rFonts w:ascii="Times New Roman" w:eastAsia="Times New Roman" w:hAnsi="Times New Roman" w:cs="Times New Roman"/>
          <w:iCs/>
          <w:color w:val="000000"/>
          <w:sz w:val="24"/>
          <w:szCs w:val="24"/>
          <w:u w:val="single"/>
          <w:lang w:eastAsia="pl-PL"/>
        </w:rPr>
        <w:t>budynków użyteczności publicznej</w:t>
      </w:r>
      <w:r w:rsidRPr="00A52EF3">
        <w:rPr>
          <w:rFonts w:ascii="Times New Roman" w:eastAsia="Times New Roman" w:hAnsi="Times New Roman" w:cs="Times New Roman"/>
          <w:iCs/>
          <w:color w:val="000000"/>
          <w:sz w:val="24"/>
          <w:szCs w:val="24"/>
          <w:lang w:eastAsia="pl-PL"/>
        </w:rPr>
        <w:t> oraz </w:t>
      </w:r>
      <w:r w:rsidRPr="00A52EF3">
        <w:rPr>
          <w:rFonts w:ascii="Times New Roman" w:eastAsia="Times New Roman" w:hAnsi="Times New Roman" w:cs="Times New Roman"/>
          <w:iCs/>
          <w:color w:val="000000"/>
          <w:sz w:val="24"/>
          <w:szCs w:val="24"/>
          <w:u w:val="single"/>
          <w:lang w:eastAsia="pl-PL"/>
        </w:rPr>
        <w:t>wielorodzinnych budynków mieszkalnych</w:t>
      </w:r>
      <w:r w:rsidRPr="00A52EF3">
        <w:rPr>
          <w:rFonts w:ascii="Times New Roman" w:eastAsia="Times New Roman" w:hAnsi="Times New Roman" w:cs="Times New Roman"/>
          <w:iCs/>
          <w:color w:val="000000"/>
          <w:sz w:val="24"/>
          <w:szCs w:val="24"/>
          <w:lang w:eastAsia="pl-PL"/>
        </w:rPr>
        <w:t> wraz z wymianą wyposażenia tych obiektów na energooszczędne. Dofinansowane zostaną inwestycje związane m.in. z:</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1.</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ociepleniem obiektu,</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2.</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wymianą okien, drzwi zewnętrznych, oraz oświetlenia na energooszczędne,</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lastRenderedPageBreak/>
        <w:t>3.</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przebudową systemów grzewczych (wraz z wymianą i podłączeniem do źródła ciepła), systemów wentylacji i klimatyzacji oraz  instalacji wodno-kanalizacyjnych,</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4.</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instalacją OZE w modernizowanych energetycznie budynkach,</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5.</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instalacją systemów chłodzących, w tym również z OZE,</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6.</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instalowaniem urządzeń energooszczędnych najnowszej generacji,</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7.</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wymianą </w:t>
      </w:r>
      <w:r w:rsidRPr="00A52EF3">
        <w:rPr>
          <w:rFonts w:ascii="Times New Roman" w:eastAsia="Times New Roman" w:hAnsi="Times New Roman" w:cs="Times New Roman"/>
          <w:iCs/>
          <w:color w:val="0070C0"/>
          <w:sz w:val="24"/>
          <w:szCs w:val="24"/>
          <w:lang w:eastAsia="pl-PL"/>
        </w:rPr>
        <w:t>/</w:t>
      </w:r>
      <w:r w:rsidRPr="00A52EF3">
        <w:rPr>
          <w:rFonts w:ascii="Times New Roman" w:eastAsia="Times New Roman" w:hAnsi="Times New Roman" w:cs="Times New Roman"/>
          <w:b/>
          <w:bCs/>
          <w:iCs/>
          <w:color w:val="000000"/>
          <w:sz w:val="24"/>
          <w:szCs w:val="24"/>
          <w:lang w:eastAsia="pl-PL"/>
        </w:rPr>
        <w:t> izolacją</w:t>
      </w:r>
      <w:r w:rsidRPr="00A52EF3">
        <w:rPr>
          <w:rFonts w:ascii="Times New Roman" w:eastAsia="Times New Roman" w:hAnsi="Times New Roman" w:cs="Times New Roman"/>
          <w:iCs/>
          <w:color w:val="0070C0"/>
          <w:sz w:val="24"/>
          <w:szCs w:val="24"/>
          <w:lang w:eastAsia="pl-PL"/>
        </w:rPr>
        <w:t> </w:t>
      </w:r>
      <w:r w:rsidRPr="00A52EF3">
        <w:rPr>
          <w:rFonts w:ascii="Times New Roman" w:eastAsia="Times New Roman" w:hAnsi="Times New Roman" w:cs="Times New Roman"/>
          <w:iCs/>
          <w:color w:val="000000"/>
          <w:sz w:val="24"/>
          <w:szCs w:val="24"/>
          <w:lang w:eastAsia="pl-PL"/>
        </w:rPr>
        <w:t>pokrycia dachowego,</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8.</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instalacją systemów inteligentnego zarządzania energią,</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9.</w:t>
      </w:r>
      <w:r w:rsidRPr="00A52EF3">
        <w:rPr>
          <w:rFonts w:ascii="Times New Roman" w:eastAsia="Times New Roman" w:hAnsi="Times New Roman" w:cs="Times New Roman"/>
          <w:color w:val="000000"/>
          <w:sz w:val="24"/>
          <w:szCs w:val="24"/>
          <w:lang w:eastAsia="pl-PL"/>
        </w:rPr>
        <w:t>     </w:t>
      </w:r>
      <w:r w:rsidRPr="00A52EF3">
        <w:rPr>
          <w:rFonts w:ascii="Times New Roman" w:eastAsia="Times New Roman" w:hAnsi="Times New Roman" w:cs="Times New Roman"/>
          <w:iCs/>
          <w:color w:val="000000"/>
          <w:sz w:val="24"/>
          <w:szCs w:val="24"/>
          <w:lang w:eastAsia="pl-PL"/>
        </w:rPr>
        <w:t>mikrokogeneracją.</w:t>
      </w:r>
    </w:p>
    <w:p w:rsidR="007352AF" w:rsidRPr="00A52EF3" w:rsidRDefault="007352AF" w:rsidP="00AE756A">
      <w:pPr>
        <w:spacing w:line="360" w:lineRule="auto"/>
        <w:jc w:val="both"/>
        <w:rPr>
          <w:rFonts w:ascii="Times New Roman" w:eastAsia="Times New Roman" w:hAnsi="Times New Roman" w:cs="Times New Roman"/>
          <w:iCs/>
          <w:color w:val="000000"/>
          <w:sz w:val="24"/>
          <w:szCs w:val="24"/>
          <w:lang w:eastAsia="pl-PL"/>
        </w:rPr>
      </w:pP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Wzmocnieniu efektów realizowanych projektów służyć będą </w:t>
      </w:r>
      <w:r w:rsidRPr="00A52EF3">
        <w:rPr>
          <w:rFonts w:ascii="Times New Roman" w:eastAsia="Times New Roman" w:hAnsi="Times New Roman" w:cs="Times New Roman"/>
          <w:b/>
          <w:bCs/>
          <w:iCs/>
          <w:color w:val="000000"/>
          <w:sz w:val="24"/>
          <w:szCs w:val="24"/>
          <w:lang w:eastAsia="pl-PL"/>
        </w:rPr>
        <w:t>inteligentne systemy zarządzania energią w oparciu o technologie TIK</w:t>
      </w:r>
      <w:r w:rsidRPr="00A52EF3">
        <w:rPr>
          <w:rFonts w:ascii="Times New Roman" w:eastAsia="Times New Roman" w:hAnsi="Times New Roman" w:cs="Times New Roman"/>
          <w:iCs/>
          <w:color w:val="000000"/>
          <w:sz w:val="24"/>
          <w:szCs w:val="24"/>
          <w:lang w:eastAsia="pl-PL"/>
        </w:rPr>
        <w:t>.</w:t>
      </w:r>
    </w:p>
    <w:p w:rsidR="007352AF" w:rsidRPr="00A52EF3" w:rsidRDefault="002F103D" w:rsidP="00AE756A">
      <w:pPr>
        <w:spacing w:line="360" w:lineRule="auto"/>
        <w:jc w:val="both"/>
        <w:rPr>
          <w:rFonts w:ascii="Times New Roman" w:eastAsia="Times New Roman" w:hAnsi="Times New Roman" w:cs="Times New Roman"/>
          <w:iCs/>
          <w:color w:val="000000"/>
          <w:sz w:val="24"/>
          <w:szCs w:val="24"/>
          <w:lang w:eastAsia="pl-PL"/>
        </w:rPr>
      </w:pPr>
      <w:r w:rsidRPr="00A52EF3">
        <w:rPr>
          <w:rFonts w:ascii="Times New Roman" w:eastAsia="Times New Roman" w:hAnsi="Times New Roman" w:cs="Times New Roman"/>
          <w:iCs/>
          <w:color w:val="000000"/>
          <w:sz w:val="24"/>
          <w:szCs w:val="24"/>
          <w:lang w:eastAsia="pl-PL"/>
        </w:rPr>
        <w:t>W szczególnie uzasadnionych przypadkach możliwe będzie dofinansowanie  inwestycji </w:t>
      </w:r>
      <w:r w:rsidR="007352AF" w:rsidRPr="00A52EF3">
        <w:rPr>
          <w:rFonts w:ascii="Times New Roman" w:eastAsia="Times New Roman" w:hAnsi="Times New Roman" w:cs="Times New Roman"/>
          <w:iCs/>
          <w:color w:val="000000"/>
          <w:sz w:val="24"/>
          <w:szCs w:val="24"/>
          <w:lang w:eastAsia="pl-PL"/>
        </w:rPr>
        <w:br/>
      </w:r>
      <w:r w:rsidRPr="00A52EF3">
        <w:rPr>
          <w:rFonts w:ascii="Times New Roman" w:eastAsia="Times New Roman" w:hAnsi="Times New Roman" w:cs="Times New Roman"/>
          <w:iCs/>
          <w:color w:val="000000"/>
          <w:sz w:val="24"/>
          <w:szCs w:val="24"/>
          <w:u w:val="single"/>
          <w:lang w:eastAsia="pl-PL"/>
        </w:rPr>
        <w:t>w kotły spalające biomasę lub ewentualnie paliwa gazowe</w:t>
      </w:r>
      <w:r w:rsidRPr="00A52EF3">
        <w:rPr>
          <w:rFonts w:ascii="Times New Roman" w:eastAsia="Times New Roman" w:hAnsi="Times New Roman" w:cs="Times New Roman"/>
          <w:iCs/>
          <w:color w:val="000000"/>
          <w:sz w:val="24"/>
          <w:szCs w:val="24"/>
          <w:lang w:eastAsia="pl-PL"/>
        </w:rPr>
        <w:t>, pod warunkiem osiągnięcia znacznie zwiększonej efektywności energetycznej, jak również w szczególnie pilnych potrzebach, przyczyniających się do zmniejszenia emisji CO</w:t>
      </w:r>
      <w:r w:rsidRPr="00A52EF3">
        <w:rPr>
          <w:rFonts w:ascii="Times New Roman" w:eastAsia="Times New Roman" w:hAnsi="Times New Roman" w:cs="Times New Roman"/>
          <w:iCs/>
          <w:color w:val="000000"/>
          <w:sz w:val="24"/>
          <w:szCs w:val="24"/>
          <w:vertAlign w:val="subscript"/>
          <w:lang w:eastAsia="pl-PL"/>
        </w:rPr>
        <w:t>2</w:t>
      </w:r>
      <w:r w:rsidRPr="00A52EF3">
        <w:rPr>
          <w:rFonts w:ascii="Times New Roman" w:eastAsia="Times New Roman" w:hAnsi="Times New Roman" w:cs="Times New Roman"/>
          <w:iCs/>
          <w:color w:val="000000"/>
          <w:sz w:val="24"/>
          <w:szCs w:val="24"/>
          <w:lang w:eastAsia="pl-PL"/>
        </w:rPr>
        <w:t xml:space="preserve"> i innych zanieczyszczeń powietrza oraz do znacznego zwiększenia oszczędności energii. </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u w:val="single"/>
          <w:lang w:eastAsia="pl-PL"/>
        </w:rPr>
        <w:t>Indywidualne piece i mikrokogeneracja:</w:t>
      </w:r>
    </w:p>
    <w:p w:rsidR="002F103D" w:rsidRPr="00A52EF3" w:rsidRDefault="002F103D" w:rsidP="00AE756A">
      <w:pPr>
        <w:spacing w:line="360" w:lineRule="auto"/>
        <w:jc w:val="both"/>
        <w:rPr>
          <w:rFonts w:ascii="Times New Roman" w:eastAsia="Times New Roman" w:hAnsi="Times New Roman" w:cs="Times New Roman"/>
          <w:color w:val="000000"/>
          <w:sz w:val="24"/>
          <w:szCs w:val="24"/>
          <w:lang w:eastAsia="pl-PL"/>
        </w:rPr>
      </w:pPr>
      <w:r w:rsidRPr="00A52EF3">
        <w:rPr>
          <w:rFonts w:ascii="Times New Roman" w:eastAsia="Times New Roman" w:hAnsi="Times New Roman" w:cs="Times New Roman"/>
          <w:iCs/>
          <w:color w:val="000000"/>
          <w:sz w:val="24"/>
          <w:szCs w:val="24"/>
          <w:lang w:eastAsia="pl-PL"/>
        </w:rPr>
        <w:t>Rezultatem wspartych projektów musi być znaczna redukcja CO</w:t>
      </w:r>
      <w:r w:rsidRPr="00A52EF3">
        <w:rPr>
          <w:rFonts w:ascii="Times New Roman" w:eastAsia="Times New Roman" w:hAnsi="Times New Roman" w:cs="Times New Roman"/>
          <w:iCs/>
          <w:color w:val="000000"/>
          <w:sz w:val="24"/>
          <w:szCs w:val="24"/>
          <w:vertAlign w:val="subscript"/>
          <w:lang w:eastAsia="pl-PL"/>
        </w:rPr>
        <w:t>2</w:t>
      </w:r>
      <w:r w:rsidRPr="00A52EF3">
        <w:rPr>
          <w:rFonts w:ascii="Times New Roman" w:eastAsia="Times New Roman" w:hAnsi="Times New Roman" w:cs="Times New Roman"/>
          <w:iCs/>
          <w:color w:val="000000"/>
          <w:sz w:val="24"/>
          <w:szCs w:val="24"/>
          <w:lang w:eastAsia="pl-PL"/>
        </w:rPr>
        <w:t xml:space="preserve"> w odniesieniu do istniejących instalacji (o co najmniej 30% w przypadku zamiany spalanego paliwa), </w:t>
      </w:r>
      <w:r w:rsidRPr="00A52EF3">
        <w:rPr>
          <w:rFonts w:ascii="Times New Roman" w:eastAsia="Times New Roman" w:hAnsi="Times New Roman" w:cs="Times New Roman"/>
          <w:iCs/>
          <w:color w:val="000000"/>
          <w:sz w:val="24"/>
          <w:szCs w:val="24"/>
          <w:lang w:eastAsia="pl-PL"/>
        </w:rPr>
        <w:br/>
        <w:t>a urządzenia do ogrzewania powinny charakteryzować się </w:t>
      </w:r>
      <w:r w:rsidRPr="00A52EF3">
        <w:rPr>
          <w:rFonts w:ascii="Times New Roman" w:eastAsia="Times New Roman" w:hAnsi="Times New Roman" w:cs="Times New Roman"/>
          <w:b/>
          <w:bCs/>
          <w:iCs/>
          <w:color w:val="000000"/>
          <w:sz w:val="24"/>
          <w:szCs w:val="24"/>
          <w:lang w:eastAsia="pl-PL"/>
        </w:rPr>
        <w:t>(obowiązującym od końca 2020r.)</w:t>
      </w:r>
      <w:r w:rsidRPr="00A52EF3">
        <w:rPr>
          <w:rFonts w:ascii="Times New Roman" w:eastAsia="Times New Roman" w:hAnsi="Times New Roman" w:cs="Times New Roman"/>
          <w:iCs/>
          <w:color w:val="000000"/>
          <w:sz w:val="24"/>
          <w:szCs w:val="24"/>
          <w:lang w:eastAsia="pl-PL"/>
        </w:rPr>
        <w:t> minimalnym poziomem efektywności energetycznej i normami emisji zanieczyszczeń, które zostały określone w przepisach wykonawczych do dyrektywy 2009/125/WE z dnia 21 października 2009 r.</w:t>
      </w:r>
    </w:p>
    <w:p w:rsidR="00554F04" w:rsidRPr="00A52EF3" w:rsidRDefault="00554F04" w:rsidP="00AE756A">
      <w:pPr>
        <w:spacing w:line="360" w:lineRule="auto"/>
        <w:jc w:val="both"/>
        <w:rPr>
          <w:rFonts w:ascii="Times New Roman" w:hAnsi="Times New Roman" w:cs="Times New Roman"/>
          <w:sz w:val="24"/>
          <w:szCs w:val="24"/>
        </w:rPr>
      </w:pPr>
    </w:p>
    <w:p w:rsidR="00554F04" w:rsidRPr="00A52EF3" w:rsidRDefault="007D1A0E" w:rsidP="00AE756A">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lastRenderedPageBreak/>
        <w:t>Główne z</w:t>
      </w:r>
      <w:r w:rsidR="00554F04" w:rsidRPr="00A52EF3">
        <w:rPr>
          <w:rFonts w:ascii="Times New Roman" w:hAnsi="Times New Roman" w:cs="Times New Roman"/>
          <w:sz w:val="24"/>
          <w:szCs w:val="24"/>
        </w:rPr>
        <w:t>estawienie projektów, wraz z zakresem inwestycji, podmiotem odpowiedzialnym, planowanym terminem realizacji, szacunkowy koszt, źródła finansowania, szacowany efekt redukcji zużycia energii oraz emisji CO2, oraz szacunkową ilość energii uzyskanej z odnawialnych źródeł energii, przedstawion</w:t>
      </w:r>
      <w:r w:rsidRPr="00A52EF3">
        <w:rPr>
          <w:rFonts w:ascii="Times New Roman" w:hAnsi="Times New Roman" w:cs="Times New Roman"/>
          <w:sz w:val="24"/>
          <w:szCs w:val="24"/>
        </w:rPr>
        <w:t>o w poniższej tabeli „</w:t>
      </w:r>
      <w:r w:rsidRPr="00A52EF3">
        <w:rPr>
          <w:rStyle w:val="Nagwek1Znak"/>
          <w:rFonts w:ascii="Times New Roman" w:hAnsi="Times New Roman" w:cs="Times New Roman"/>
          <w:b w:val="0"/>
          <w:color w:val="auto"/>
          <w:sz w:val="24"/>
          <w:szCs w:val="24"/>
        </w:rPr>
        <w:t>Krótko/ średnioterminowe</w:t>
      </w:r>
      <w:r w:rsidRPr="00A52EF3">
        <w:rPr>
          <w:rFonts w:ascii="Times New Roman" w:hAnsi="Times New Roman" w:cs="Times New Roman"/>
          <w:b/>
          <w:sz w:val="24"/>
          <w:szCs w:val="24"/>
        </w:rPr>
        <w:t xml:space="preserve"> </w:t>
      </w:r>
      <w:r w:rsidRPr="00A52EF3">
        <w:rPr>
          <w:rStyle w:val="Nagwek1Znak"/>
          <w:rFonts w:ascii="Times New Roman" w:hAnsi="Times New Roman" w:cs="Times New Roman"/>
          <w:b w:val="0"/>
          <w:color w:val="auto"/>
          <w:sz w:val="24"/>
          <w:szCs w:val="24"/>
        </w:rPr>
        <w:t>działania/ zadania na lata 2016 – 2020 w Gminie Brody</w:t>
      </w:r>
      <w:r w:rsidRPr="00A52EF3">
        <w:rPr>
          <w:rFonts w:ascii="Times New Roman" w:hAnsi="Times New Roman" w:cs="Times New Roman"/>
          <w:b/>
          <w:sz w:val="24"/>
          <w:szCs w:val="24"/>
        </w:rPr>
        <w:t>”</w:t>
      </w:r>
      <w:r w:rsidR="00B07DD5" w:rsidRPr="00A52EF3">
        <w:rPr>
          <w:rFonts w:ascii="Times New Roman" w:hAnsi="Times New Roman" w:cs="Times New Roman"/>
          <w:b/>
          <w:sz w:val="24"/>
          <w:szCs w:val="24"/>
        </w:rPr>
        <w:t>.</w:t>
      </w:r>
      <w:r w:rsidR="00F45F14" w:rsidRPr="00A52EF3">
        <w:rPr>
          <w:rFonts w:ascii="Times New Roman" w:hAnsi="Times New Roman" w:cs="Times New Roman"/>
          <w:b/>
          <w:sz w:val="24"/>
          <w:szCs w:val="24"/>
        </w:rPr>
        <w:t xml:space="preserve"> </w:t>
      </w:r>
      <w:r w:rsidR="00F45F14" w:rsidRPr="00A52EF3">
        <w:rPr>
          <w:rFonts w:ascii="Times New Roman" w:hAnsi="Times New Roman" w:cs="Times New Roman"/>
          <w:sz w:val="24"/>
          <w:szCs w:val="24"/>
        </w:rPr>
        <w:t xml:space="preserve">Na obecnym etapie projektu niemożliwe jest obliczenie realnej redukcji emisji z transportu. </w:t>
      </w:r>
    </w:p>
    <w:p w:rsidR="007352AF" w:rsidRPr="00A52EF3" w:rsidRDefault="007352AF" w:rsidP="00AE756A">
      <w:pPr>
        <w:spacing w:line="360" w:lineRule="auto"/>
        <w:jc w:val="both"/>
        <w:rPr>
          <w:rFonts w:ascii="Times New Roman" w:hAnsi="Times New Roman" w:cs="Times New Roman"/>
          <w:sz w:val="24"/>
          <w:szCs w:val="24"/>
        </w:rPr>
        <w:sectPr w:rsidR="007352AF" w:rsidRPr="00A52EF3">
          <w:headerReference w:type="default" r:id="rId41"/>
          <w:footerReference w:type="default" r:id="rId42"/>
          <w:pgSz w:w="11906" w:h="16838"/>
          <w:pgMar w:top="1417" w:right="1417" w:bottom="1417" w:left="1417" w:header="708" w:footer="708" w:gutter="0"/>
          <w:cols w:space="708"/>
          <w:docGrid w:linePitch="360"/>
        </w:sectPr>
      </w:pPr>
    </w:p>
    <w:tbl>
      <w:tblPr>
        <w:tblStyle w:val="Tabela-Siatka"/>
        <w:tblpPr w:leftFromText="141" w:rightFromText="141" w:bottomFromText="200" w:vertAnchor="page" w:horzAnchor="margin" w:tblpY="2821"/>
        <w:tblW w:w="0" w:type="auto"/>
        <w:tblLook w:val="04A0" w:firstRow="1" w:lastRow="0" w:firstColumn="1" w:lastColumn="0" w:noHBand="0" w:noVBand="1"/>
      </w:tblPr>
      <w:tblGrid>
        <w:gridCol w:w="2292"/>
        <w:gridCol w:w="2160"/>
        <w:gridCol w:w="1769"/>
        <w:gridCol w:w="1303"/>
        <w:gridCol w:w="1416"/>
        <w:gridCol w:w="1848"/>
        <w:gridCol w:w="1684"/>
        <w:gridCol w:w="1668"/>
        <w:gridCol w:w="1474"/>
      </w:tblGrid>
      <w:tr w:rsidR="00953900" w:rsidRPr="00A52EF3" w:rsidTr="00086D7D">
        <w:trPr>
          <w:cantSplit/>
          <w:trHeight w:val="55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881557" w:rsidP="00086D7D">
            <w:pPr>
              <w:spacing w:line="360" w:lineRule="auto"/>
              <w:jc w:val="center"/>
              <w:rPr>
                <w:rFonts w:ascii="Times New Roman" w:eastAsiaTheme="minorEastAsia" w:hAnsi="Times New Roman" w:cs="Times New Roman"/>
                <w:b/>
                <w:sz w:val="22"/>
              </w:rPr>
            </w:pPr>
            <w:bookmarkStart w:id="96" w:name="_Toc451417936"/>
            <w:r w:rsidRPr="00A52EF3">
              <w:rPr>
                <w:rFonts w:ascii="Times New Roman" w:hAnsi="Times New Roman" w:cs="Times New Roman"/>
                <w:b/>
                <w:noProof/>
                <w:lang w:eastAsia="pl-PL"/>
              </w:rPr>
              <w:lastRenderedPageBreak/>
              <w:pict>
                <v:shapetype id="_x0000_t202" coordsize="21600,21600" o:spt="202" path="m,l,21600r21600,l21600,xe">
                  <v:stroke joinstyle="miter"/>
                  <v:path gradientshapeok="t" o:connecttype="rect"/>
                </v:shapetype>
                <v:shape id="_x0000_s1027" type="#_x0000_t202" style="position:absolute;left:0;text-align:left;margin-left:8.6pt;margin-top:-120.5pt;width:570pt;height:29.25pt;z-index:251658240" stroked="f">
                  <v:textbox style="mso-next-textbox:#_x0000_s1027">
                    <w:txbxContent>
                      <w:p w:rsidR="00881557" w:rsidRPr="00681313" w:rsidRDefault="00881557" w:rsidP="00681313">
                        <w:pPr>
                          <w:pStyle w:val="Nagwek2"/>
                          <w:rPr>
                            <w:color w:val="auto"/>
                            <w:sz w:val="24"/>
                          </w:rPr>
                        </w:pPr>
                        <w:bookmarkStart w:id="97" w:name="_Toc457994543"/>
                        <w:bookmarkStart w:id="98" w:name="_Toc457994599"/>
                        <w:bookmarkStart w:id="99" w:name="_Toc470764036"/>
                        <w:r w:rsidRPr="00681313">
                          <w:rPr>
                            <w:rStyle w:val="Nagwek1Znak"/>
                            <w:b/>
                            <w:bCs/>
                            <w:color w:val="auto"/>
                            <w:sz w:val="24"/>
                          </w:rPr>
                          <w:t>14.1. Krótko/ średnioterminowe</w:t>
                        </w:r>
                        <w:bookmarkEnd w:id="97"/>
                        <w:bookmarkEnd w:id="98"/>
                        <w:r w:rsidRPr="00681313">
                          <w:rPr>
                            <w:color w:val="auto"/>
                            <w:sz w:val="24"/>
                          </w:rPr>
                          <w:t xml:space="preserve"> </w:t>
                        </w:r>
                        <w:r w:rsidRPr="00681313">
                          <w:rPr>
                            <w:rStyle w:val="Nagwek1Znak"/>
                            <w:b/>
                            <w:bCs/>
                            <w:color w:val="auto"/>
                            <w:sz w:val="24"/>
                          </w:rPr>
                          <w:t>działania/ zadania na lata 2016 – 2020 w Gminie Brody</w:t>
                        </w:r>
                        <w:bookmarkEnd w:id="99"/>
                      </w:p>
                    </w:txbxContent>
                  </v:textbox>
                </v:shape>
              </w:pict>
            </w:r>
            <w:r w:rsidR="005869E2" w:rsidRPr="00A52EF3">
              <w:rPr>
                <w:rFonts w:ascii="Times New Roman" w:hAnsi="Times New Roman" w:cs="Times New Roman"/>
                <w:b/>
                <w:sz w:val="22"/>
              </w:rPr>
              <w:t>Nazwa projektu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5869E2" w:rsidP="00086D7D">
            <w:pPr>
              <w:spacing w:line="360" w:lineRule="auto"/>
              <w:jc w:val="center"/>
              <w:rPr>
                <w:rFonts w:ascii="Times New Roman" w:eastAsiaTheme="minorEastAsia" w:hAnsi="Times New Roman" w:cs="Times New Roman"/>
                <w:b/>
                <w:sz w:val="22"/>
              </w:rPr>
            </w:pPr>
            <w:r w:rsidRPr="00A52EF3">
              <w:rPr>
                <w:rFonts w:ascii="Times New Roman" w:hAnsi="Times New Roman" w:cs="Times New Roman"/>
                <w:b/>
                <w:sz w:val="22"/>
              </w:rPr>
              <w:t xml:space="preserve">Opis </w:t>
            </w:r>
            <w:r w:rsidRPr="00A52EF3">
              <w:rPr>
                <w:rFonts w:ascii="Times New Roman" w:hAnsi="Times New Roman" w:cs="Times New Roman"/>
                <w:b/>
                <w:sz w:val="22"/>
              </w:rPr>
              <w:br/>
              <w:t>(zakres inwestycji, opis podstawowych działań)</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5869E2" w:rsidP="00086D7D">
            <w:pPr>
              <w:spacing w:line="360" w:lineRule="auto"/>
              <w:jc w:val="center"/>
              <w:rPr>
                <w:rFonts w:ascii="Times New Roman" w:eastAsiaTheme="minorEastAsia" w:hAnsi="Times New Roman" w:cs="Times New Roman"/>
                <w:b/>
                <w:sz w:val="22"/>
              </w:rPr>
            </w:pPr>
            <w:r w:rsidRPr="00A52EF3">
              <w:rPr>
                <w:rFonts w:ascii="Times New Roman" w:hAnsi="Times New Roman" w:cs="Times New Roman"/>
                <w:b/>
                <w:sz w:val="22"/>
              </w:rPr>
              <w:t>Podmiot odpowiedzialny za realizację działania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5869E2" w:rsidP="00086D7D">
            <w:pPr>
              <w:spacing w:line="360" w:lineRule="auto"/>
              <w:jc w:val="center"/>
              <w:rPr>
                <w:rFonts w:ascii="Times New Roman" w:eastAsiaTheme="minorEastAsia" w:hAnsi="Times New Roman" w:cs="Times New Roman"/>
                <w:b/>
                <w:sz w:val="22"/>
              </w:rPr>
            </w:pPr>
            <w:r w:rsidRPr="00A52EF3">
              <w:rPr>
                <w:rFonts w:ascii="Times New Roman" w:hAnsi="Times New Roman" w:cs="Times New Roman"/>
                <w:b/>
                <w:sz w:val="22"/>
              </w:rPr>
              <w:t>Planowany termin realizacji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5869E2" w:rsidP="00086D7D">
            <w:pPr>
              <w:spacing w:line="360" w:lineRule="auto"/>
              <w:jc w:val="center"/>
              <w:rPr>
                <w:rFonts w:ascii="Times New Roman" w:eastAsiaTheme="minorEastAsia" w:hAnsi="Times New Roman" w:cs="Times New Roman"/>
                <w:b/>
                <w:sz w:val="22"/>
              </w:rPr>
            </w:pPr>
            <w:r w:rsidRPr="00A52EF3">
              <w:rPr>
                <w:rFonts w:ascii="Times New Roman" w:hAnsi="Times New Roman" w:cs="Times New Roman"/>
                <w:b/>
                <w:sz w:val="22"/>
              </w:rPr>
              <w:t>Szacunkowy koszt [zł]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869E2" w:rsidRPr="00A52EF3" w:rsidRDefault="005869E2" w:rsidP="00086D7D">
            <w:pPr>
              <w:spacing w:line="360" w:lineRule="auto"/>
              <w:jc w:val="center"/>
              <w:rPr>
                <w:rFonts w:ascii="Times New Roman" w:eastAsiaTheme="minorEastAsia" w:hAnsi="Times New Roman" w:cs="Times New Roman"/>
                <w:b/>
                <w:sz w:val="22"/>
              </w:rPr>
            </w:pPr>
            <w:r w:rsidRPr="00A52EF3">
              <w:rPr>
                <w:rFonts w:ascii="Times New Roman" w:hAnsi="Times New Roman" w:cs="Times New Roman"/>
                <w:b/>
                <w:sz w:val="22"/>
              </w:rPr>
              <w:t>Źródło finansowania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5869E2" w:rsidRPr="00A52EF3" w:rsidRDefault="005869E2" w:rsidP="00086D7D">
            <w:pPr>
              <w:autoSpaceDE w:val="0"/>
              <w:autoSpaceDN w:val="0"/>
              <w:adjustRightInd w:val="0"/>
              <w:spacing w:line="360" w:lineRule="auto"/>
              <w:jc w:val="center"/>
              <w:rPr>
                <w:rFonts w:ascii="Times New Roman" w:hAnsi="Times New Roman" w:cs="Times New Roman"/>
                <w:b/>
                <w:sz w:val="22"/>
              </w:rPr>
            </w:pPr>
            <w:r w:rsidRPr="00A52EF3">
              <w:rPr>
                <w:rFonts w:ascii="Times New Roman" w:hAnsi="Times New Roman" w:cs="Times New Roman"/>
                <w:b/>
                <w:bCs/>
                <w:sz w:val="22"/>
              </w:rPr>
              <w:t>Szacowany efekt redukcji zużycia energii</w:t>
            </w:r>
          </w:p>
          <w:p w:rsidR="005869E2" w:rsidRPr="00A52EF3" w:rsidRDefault="005869E2" w:rsidP="00086D7D">
            <w:pPr>
              <w:spacing w:line="360" w:lineRule="auto"/>
              <w:jc w:val="center"/>
              <w:rPr>
                <w:rFonts w:ascii="Times New Roman" w:hAnsi="Times New Roman" w:cs="Times New Roman"/>
                <w:b/>
                <w:sz w:val="22"/>
              </w:rPr>
            </w:pPr>
            <w:r w:rsidRPr="00A52EF3">
              <w:rPr>
                <w:rFonts w:ascii="Times New Roman" w:hAnsi="Times New Roman" w:cs="Times New Roman"/>
                <w:b/>
                <w:bCs/>
                <w:sz w:val="22"/>
              </w:rPr>
              <w:t>[MWh/rok]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5869E2" w:rsidRPr="00A52EF3" w:rsidRDefault="005869E2" w:rsidP="00086D7D">
            <w:pPr>
              <w:autoSpaceDE w:val="0"/>
              <w:autoSpaceDN w:val="0"/>
              <w:adjustRightInd w:val="0"/>
              <w:spacing w:line="360" w:lineRule="auto"/>
              <w:jc w:val="center"/>
              <w:rPr>
                <w:rFonts w:ascii="Times New Roman" w:hAnsi="Times New Roman" w:cs="Times New Roman"/>
                <w:b/>
                <w:sz w:val="22"/>
              </w:rPr>
            </w:pPr>
            <w:r w:rsidRPr="00A52EF3">
              <w:rPr>
                <w:rFonts w:ascii="Times New Roman" w:hAnsi="Times New Roman" w:cs="Times New Roman"/>
                <w:b/>
                <w:bCs/>
                <w:sz w:val="22"/>
              </w:rPr>
              <w:t>Szacowny efekt redukcji emisji CO</w:t>
            </w:r>
            <w:r w:rsidRPr="00A52EF3">
              <w:rPr>
                <w:rFonts w:ascii="Times New Roman" w:hAnsi="Times New Roman" w:cs="Times New Roman"/>
                <w:b/>
                <w:bCs/>
                <w:sz w:val="22"/>
                <w:vertAlign w:val="subscript"/>
              </w:rPr>
              <w:t>2</w:t>
            </w:r>
          </w:p>
          <w:p w:rsidR="005869E2" w:rsidRPr="00A52EF3" w:rsidRDefault="005869E2" w:rsidP="00086D7D">
            <w:pPr>
              <w:spacing w:line="360" w:lineRule="auto"/>
              <w:jc w:val="center"/>
              <w:rPr>
                <w:rFonts w:ascii="Times New Roman" w:hAnsi="Times New Roman" w:cs="Times New Roman"/>
                <w:b/>
                <w:sz w:val="22"/>
              </w:rPr>
            </w:pPr>
            <w:r w:rsidRPr="00A52EF3">
              <w:rPr>
                <w:rFonts w:ascii="Times New Roman" w:hAnsi="Times New Roman" w:cs="Times New Roman"/>
                <w:b/>
                <w:bCs/>
                <w:sz w:val="22"/>
              </w:rPr>
              <w:t>[Mg/rok]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tcPr>
          <w:p w:rsidR="005869E2" w:rsidRPr="00A52EF3" w:rsidRDefault="005869E2" w:rsidP="00086D7D">
            <w:pPr>
              <w:autoSpaceDE w:val="0"/>
              <w:autoSpaceDN w:val="0"/>
              <w:adjustRightInd w:val="0"/>
              <w:spacing w:line="360" w:lineRule="auto"/>
              <w:jc w:val="center"/>
              <w:rPr>
                <w:rFonts w:ascii="Times New Roman" w:hAnsi="Times New Roman" w:cs="Times New Roman"/>
                <w:b/>
                <w:bCs/>
                <w:sz w:val="22"/>
              </w:rPr>
            </w:pPr>
            <w:r w:rsidRPr="00A52EF3">
              <w:rPr>
                <w:rFonts w:ascii="Times New Roman" w:eastAsia="Gulim" w:hAnsi="Times New Roman" w:cs="Times New Roman"/>
                <w:b/>
                <w:bCs/>
                <w:sz w:val="22"/>
              </w:rPr>
              <w:t xml:space="preserve">Szacunkowa ilość energii uzyskiwanej </w:t>
            </w:r>
            <w:r w:rsidRPr="00A52EF3">
              <w:rPr>
                <w:rFonts w:ascii="Times New Roman" w:eastAsia="Gulim" w:hAnsi="Times New Roman" w:cs="Times New Roman"/>
                <w:b/>
                <w:bCs/>
                <w:sz w:val="22"/>
              </w:rPr>
              <w:br/>
              <w:t>z OZE [MWh/rok]</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Termomodernizacja</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budynków użyteczności</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publicznej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pStyle w:val="Akapitzlist"/>
              <w:numPr>
                <w:ilvl w:val="0"/>
                <w:numId w:val="71"/>
              </w:numPr>
              <w:spacing w:line="360" w:lineRule="auto"/>
              <w:ind w:left="396"/>
              <w:jc w:val="center"/>
              <w:rPr>
                <w:rFonts w:ascii="Times New Roman" w:eastAsiaTheme="minorEastAsia" w:hAnsi="Times New Roman" w:cs="Times New Roman"/>
                <w:sz w:val="22"/>
              </w:rPr>
            </w:pPr>
            <w:r w:rsidRPr="00A52EF3">
              <w:rPr>
                <w:rFonts w:ascii="Times New Roman" w:hAnsi="Times New Roman" w:cs="Times New Roman"/>
                <w:sz w:val="22"/>
              </w:rPr>
              <w:t>Docieplenie ścian zewnętrznych.</w:t>
            </w:r>
          </w:p>
          <w:p w:rsidR="005869E2" w:rsidRPr="00A52EF3" w:rsidRDefault="005869E2" w:rsidP="00086D7D">
            <w:pPr>
              <w:pStyle w:val="Akapitzlist"/>
              <w:numPr>
                <w:ilvl w:val="0"/>
                <w:numId w:val="71"/>
              </w:numPr>
              <w:spacing w:line="360" w:lineRule="auto"/>
              <w:ind w:left="396"/>
              <w:jc w:val="center"/>
              <w:rPr>
                <w:rFonts w:ascii="Times New Roman" w:hAnsi="Times New Roman" w:cs="Times New Roman"/>
                <w:sz w:val="22"/>
              </w:rPr>
            </w:pPr>
            <w:r w:rsidRPr="00A52EF3">
              <w:rPr>
                <w:rFonts w:ascii="Times New Roman" w:hAnsi="Times New Roman" w:cs="Times New Roman"/>
                <w:sz w:val="22"/>
              </w:rPr>
              <w:t>Docieplenie ścian fundamentów.</w:t>
            </w:r>
          </w:p>
          <w:p w:rsidR="005869E2" w:rsidRPr="00A52EF3" w:rsidRDefault="005869E2" w:rsidP="00086D7D">
            <w:pPr>
              <w:pStyle w:val="Akapitzlist"/>
              <w:numPr>
                <w:ilvl w:val="0"/>
                <w:numId w:val="71"/>
              </w:numPr>
              <w:spacing w:line="360" w:lineRule="auto"/>
              <w:ind w:left="396"/>
              <w:jc w:val="center"/>
              <w:rPr>
                <w:rFonts w:ascii="Times New Roman" w:eastAsiaTheme="minorEastAsia" w:hAnsi="Times New Roman" w:cs="Times New Roman"/>
                <w:sz w:val="22"/>
              </w:rPr>
            </w:pPr>
            <w:r w:rsidRPr="00A52EF3">
              <w:rPr>
                <w:rFonts w:ascii="Times New Roman" w:hAnsi="Times New Roman" w:cs="Times New Roman"/>
                <w:sz w:val="22"/>
              </w:rPr>
              <w:t>Docieplenie poddasza/strychu.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eastAsiaTheme="minorEastAsia" w:hAnsi="Times New Roman" w:cs="Times New Roman"/>
                <w:sz w:val="22"/>
              </w:rPr>
              <w:t>650 000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5869E2" w:rsidP="00086D7D">
            <w:pPr>
              <w:pStyle w:val="Default"/>
              <w:spacing w:line="360" w:lineRule="auto"/>
              <w:jc w:val="center"/>
              <w:rPr>
                <w:rFonts w:eastAsiaTheme="minorEastAsia"/>
                <w:color w:val="auto"/>
                <w:sz w:val="22"/>
                <w:szCs w:val="22"/>
              </w:rPr>
            </w:pPr>
            <w:r w:rsidRPr="00A52EF3">
              <w:rPr>
                <w:color w:val="auto"/>
                <w:sz w:val="22"/>
                <w:szCs w:val="22"/>
              </w:rPr>
              <w:t>Budżet Gminy/ RPO województwa świętokrzyskiego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37,7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2,42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Wykorzystanie</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odnawialnych źródeł</w:t>
            </w:r>
          </w:p>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energii budynki użyteczności publicznej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Montaż OZE</w:t>
            </w:r>
          </w:p>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(panele fotowoltaiczne)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eastAsiaTheme="minorEastAsia" w:hAnsi="Times New Roman" w:cs="Times New Roman"/>
                <w:sz w:val="22"/>
              </w:rPr>
              <w:t>200 000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5869E2" w:rsidP="00086D7D">
            <w:pPr>
              <w:pStyle w:val="Default"/>
              <w:spacing w:line="360" w:lineRule="auto"/>
              <w:jc w:val="center"/>
              <w:rPr>
                <w:rFonts w:eastAsiaTheme="minorEastAsia"/>
                <w:color w:val="auto"/>
                <w:sz w:val="22"/>
                <w:szCs w:val="22"/>
              </w:rPr>
            </w:pPr>
            <w:r w:rsidRPr="00A52EF3">
              <w:rPr>
                <w:color w:val="auto"/>
                <w:sz w:val="22"/>
                <w:szCs w:val="22"/>
              </w:rPr>
              <w:t>Budżet Gminy/ RPO województwa świętokrzyskiego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autoSpaceDE w:val="0"/>
              <w:autoSpaceDN w:val="0"/>
              <w:adjustRightInd w:val="0"/>
              <w:spacing w:line="360" w:lineRule="auto"/>
              <w:jc w:val="center"/>
              <w:rPr>
                <w:rFonts w:ascii="Times New Roman" w:hAnsi="Times New Roman" w:cs="Times New Roman"/>
                <w:bCs/>
                <w:sz w:val="22"/>
              </w:rPr>
            </w:pPr>
            <w:r w:rsidRPr="00A52EF3">
              <w:rPr>
                <w:rFonts w:ascii="Times New Roman" w:hAnsi="Times New Roman" w:cs="Times New Roman"/>
                <w:bCs/>
                <w:sz w:val="22"/>
              </w:rPr>
              <w:t>19,0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autoSpaceDE w:val="0"/>
              <w:autoSpaceDN w:val="0"/>
              <w:adjustRightInd w:val="0"/>
              <w:spacing w:line="360" w:lineRule="auto"/>
              <w:jc w:val="center"/>
              <w:rPr>
                <w:rFonts w:ascii="Times New Roman" w:hAnsi="Times New Roman" w:cs="Times New Roman"/>
                <w:bCs/>
                <w:sz w:val="22"/>
              </w:rPr>
            </w:pPr>
            <w:r w:rsidRPr="00A52EF3">
              <w:rPr>
                <w:rFonts w:ascii="Times New Roman" w:hAnsi="Times New Roman" w:cs="Times New Roman"/>
                <w:bCs/>
                <w:sz w:val="22"/>
              </w:rPr>
              <w:t>16,9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autoSpaceDE w:val="0"/>
              <w:autoSpaceDN w:val="0"/>
              <w:adjustRightInd w:val="0"/>
              <w:spacing w:line="360" w:lineRule="auto"/>
              <w:jc w:val="center"/>
              <w:rPr>
                <w:rFonts w:ascii="Times New Roman" w:eastAsia="Gulim" w:hAnsi="Times New Roman" w:cs="Times New Roman"/>
                <w:bCs/>
                <w:sz w:val="22"/>
              </w:rPr>
            </w:pPr>
            <w:r w:rsidRPr="00A52EF3">
              <w:rPr>
                <w:rFonts w:ascii="Times New Roman" w:eastAsia="Gulim" w:hAnsi="Times New Roman" w:cs="Times New Roman"/>
                <w:bCs/>
                <w:sz w:val="22"/>
              </w:rPr>
              <w:t>0,92</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Wykorzystanie</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odnawialnych źródeł energii</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 budownictwie</w:t>
            </w:r>
          </w:p>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 xml:space="preserve">jednorodzinnym </w:t>
            </w:r>
            <w:r w:rsidRPr="00A52EF3">
              <w:rPr>
                <w:rFonts w:ascii="Times New Roman" w:hAnsi="Times New Roman" w:cs="Times New Roman"/>
                <w:sz w:val="22"/>
              </w:rPr>
              <w:br/>
              <w:t>i wielorodzinnym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Montaż OZE</w:t>
            </w:r>
          </w:p>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(m.in. panele fotowoltaiczne, pompy ciepła)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Mieszkańcy Gminy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3000000,00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869E2" w:rsidRPr="00A52EF3" w:rsidRDefault="00950132" w:rsidP="00086D7D">
            <w:pPr>
              <w:pStyle w:val="Default"/>
              <w:spacing w:line="360" w:lineRule="auto"/>
              <w:jc w:val="center"/>
              <w:rPr>
                <w:rFonts w:eastAsiaTheme="minorEastAsia"/>
                <w:color w:val="auto"/>
                <w:sz w:val="22"/>
                <w:szCs w:val="22"/>
              </w:rPr>
            </w:pPr>
            <w:r w:rsidRPr="00A52EF3">
              <w:rPr>
                <w:color w:val="auto"/>
                <w:sz w:val="22"/>
                <w:szCs w:val="22"/>
              </w:rPr>
              <w:t>Budżet własny mieszkańców/ W</w:t>
            </w:r>
            <w:r w:rsidR="005869E2" w:rsidRPr="00A52EF3">
              <w:rPr>
                <w:color w:val="auto"/>
                <w:sz w:val="22"/>
                <w:szCs w:val="22"/>
              </w:rPr>
              <w:t>FOŚiGW</w:t>
            </w:r>
          </w:p>
          <w:p w:rsidR="005869E2" w:rsidRPr="00A52EF3" w:rsidRDefault="005869E2" w:rsidP="00086D7D">
            <w:pPr>
              <w:pStyle w:val="Default"/>
              <w:spacing w:line="360" w:lineRule="auto"/>
              <w:jc w:val="center"/>
              <w:rPr>
                <w:rFonts w:eastAsiaTheme="minorEastAsia"/>
                <w:color w:val="auto"/>
                <w:sz w:val="22"/>
                <w:szCs w:val="22"/>
              </w:rPr>
            </w:pPr>
            <w:r w:rsidRPr="00A52EF3">
              <w:rPr>
                <w:color w:val="auto"/>
                <w:sz w:val="22"/>
                <w:szCs w:val="22"/>
              </w:rPr>
              <w:t>"Prosument"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510,6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454,17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510,6</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lastRenderedPageBreak/>
              <w:t>Termomodernizacja</w:t>
            </w:r>
          </w:p>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budynków mieszkalnych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pStyle w:val="Akapitzlist"/>
              <w:numPr>
                <w:ilvl w:val="0"/>
                <w:numId w:val="72"/>
              </w:numPr>
              <w:spacing w:line="360" w:lineRule="auto"/>
              <w:ind w:left="396"/>
              <w:jc w:val="center"/>
              <w:rPr>
                <w:rFonts w:ascii="Times New Roman" w:eastAsiaTheme="minorEastAsia" w:hAnsi="Times New Roman" w:cs="Times New Roman"/>
                <w:sz w:val="22"/>
              </w:rPr>
            </w:pPr>
            <w:r w:rsidRPr="00A52EF3">
              <w:rPr>
                <w:rFonts w:ascii="Times New Roman" w:hAnsi="Times New Roman" w:cs="Times New Roman"/>
                <w:sz w:val="22"/>
              </w:rPr>
              <w:t>Docieplenie ścian zewnętrznych.</w:t>
            </w:r>
          </w:p>
          <w:p w:rsidR="005869E2" w:rsidRPr="00A52EF3" w:rsidRDefault="005869E2" w:rsidP="00086D7D">
            <w:pPr>
              <w:pStyle w:val="Akapitzlist"/>
              <w:numPr>
                <w:ilvl w:val="0"/>
                <w:numId w:val="72"/>
              </w:numPr>
              <w:spacing w:line="360" w:lineRule="auto"/>
              <w:ind w:left="396"/>
              <w:jc w:val="center"/>
              <w:rPr>
                <w:rFonts w:ascii="Times New Roman" w:hAnsi="Times New Roman" w:cs="Times New Roman"/>
                <w:sz w:val="22"/>
              </w:rPr>
            </w:pPr>
            <w:r w:rsidRPr="00A52EF3">
              <w:rPr>
                <w:rFonts w:ascii="Times New Roman" w:hAnsi="Times New Roman" w:cs="Times New Roman"/>
                <w:sz w:val="22"/>
              </w:rPr>
              <w:t>Docieplenie ścian fundamentów.</w:t>
            </w:r>
          </w:p>
          <w:p w:rsidR="005869E2" w:rsidRPr="00A52EF3" w:rsidRDefault="005869E2" w:rsidP="00086D7D">
            <w:pPr>
              <w:pStyle w:val="Akapitzlist"/>
              <w:numPr>
                <w:ilvl w:val="0"/>
                <w:numId w:val="72"/>
              </w:numPr>
              <w:spacing w:line="360" w:lineRule="auto"/>
              <w:ind w:left="396"/>
              <w:jc w:val="center"/>
              <w:rPr>
                <w:rFonts w:ascii="Times New Roman" w:eastAsiaTheme="minorEastAsia" w:hAnsi="Times New Roman" w:cs="Times New Roman"/>
                <w:sz w:val="22"/>
              </w:rPr>
            </w:pPr>
            <w:r w:rsidRPr="00A52EF3">
              <w:rPr>
                <w:rFonts w:ascii="Times New Roman" w:hAnsi="Times New Roman" w:cs="Times New Roman"/>
                <w:sz w:val="22"/>
              </w:rPr>
              <w:t>Docieplenie poddasza/strychu.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Mieszkańcy Gminy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eastAsiaTheme="minorEastAsia" w:hAnsi="Times New Roman" w:cs="Times New Roman"/>
                <w:sz w:val="22"/>
              </w:rPr>
              <w:t>b.d.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950132" w:rsidP="00086D7D">
            <w:pPr>
              <w:pStyle w:val="Default"/>
              <w:spacing w:line="360" w:lineRule="auto"/>
              <w:jc w:val="center"/>
              <w:rPr>
                <w:rFonts w:eastAsiaTheme="minorEastAsia"/>
                <w:color w:val="auto"/>
                <w:sz w:val="22"/>
                <w:szCs w:val="22"/>
              </w:rPr>
            </w:pPr>
            <w:r w:rsidRPr="00A52EF3">
              <w:rPr>
                <w:color w:val="auto"/>
                <w:sz w:val="22"/>
                <w:szCs w:val="22"/>
              </w:rPr>
              <w:t>Budżet własny mieszkańców/ W</w:t>
            </w:r>
            <w:r w:rsidR="005869E2" w:rsidRPr="00A52EF3">
              <w:rPr>
                <w:color w:val="auto"/>
                <w:sz w:val="22"/>
                <w:szCs w:val="22"/>
              </w:rPr>
              <w:t>FOŚiGW</w:t>
            </w:r>
          </w:p>
          <w:p w:rsidR="005869E2" w:rsidRPr="00A52EF3" w:rsidRDefault="005869E2" w:rsidP="00086D7D">
            <w:pPr>
              <w:pStyle w:val="Default"/>
              <w:spacing w:line="360" w:lineRule="auto"/>
              <w:jc w:val="center"/>
              <w:rPr>
                <w:rFonts w:eastAsiaTheme="minorEastAsia"/>
                <w:color w:val="auto"/>
                <w:sz w:val="22"/>
                <w:szCs w:val="22"/>
              </w:rPr>
            </w:pPr>
            <w:r w:rsidRPr="00A52EF3">
              <w:rPr>
                <w:color w:val="auto"/>
                <w:sz w:val="22"/>
                <w:szCs w:val="22"/>
              </w:rPr>
              <w:t>"Prosument"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Style w:val="Pogrubienie"/>
                <w:rFonts w:ascii="Times New Roman" w:hAnsi="Times New Roman" w:cs="Times New Roman"/>
                <w:b w:val="0"/>
                <w:sz w:val="22"/>
              </w:rPr>
              <w:t>4 727,3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1720,56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 xml:space="preserve">Ograniczenie emisji </w:t>
            </w:r>
            <w:r w:rsidRPr="00A52EF3">
              <w:rPr>
                <w:rFonts w:ascii="Times New Roman" w:hAnsi="Times New Roman" w:cs="Times New Roman"/>
                <w:sz w:val="22"/>
              </w:rPr>
              <w:br/>
              <w:t xml:space="preserve">w budynkach jednorodzinnych </w:t>
            </w:r>
            <w:r w:rsidRPr="00A52EF3">
              <w:rPr>
                <w:rFonts w:ascii="Times New Roman" w:hAnsi="Times New Roman" w:cs="Times New Roman"/>
                <w:sz w:val="22"/>
              </w:rPr>
              <w:br/>
              <w:t>i wielorodzinnych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Wymiana źródeł ciepła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Mieszkańcy Gminy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eastAsiaTheme="minorEastAsia" w:hAnsi="Times New Roman" w:cs="Times New Roman"/>
                <w:sz w:val="22"/>
              </w:rPr>
              <w:t>b.d.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950132" w:rsidP="00086D7D">
            <w:pPr>
              <w:pStyle w:val="Default"/>
              <w:spacing w:line="360" w:lineRule="auto"/>
              <w:jc w:val="center"/>
              <w:rPr>
                <w:rFonts w:eastAsiaTheme="minorEastAsia"/>
                <w:color w:val="auto"/>
                <w:sz w:val="22"/>
                <w:szCs w:val="22"/>
              </w:rPr>
            </w:pPr>
            <w:r w:rsidRPr="00A52EF3">
              <w:rPr>
                <w:color w:val="auto"/>
                <w:sz w:val="22"/>
                <w:szCs w:val="22"/>
              </w:rPr>
              <w:t>Budżet własny mieszkańców/ W</w:t>
            </w:r>
            <w:r w:rsidR="005869E2" w:rsidRPr="00A52EF3">
              <w:rPr>
                <w:color w:val="auto"/>
                <w:sz w:val="22"/>
                <w:szCs w:val="22"/>
              </w:rPr>
              <w:t>FOŚiGW</w:t>
            </w:r>
          </w:p>
          <w:p w:rsidR="005869E2" w:rsidRPr="00A52EF3" w:rsidRDefault="005869E2" w:rsidP="00086D7D">
            <w:pPr>
              <w:pStyle w:val="Default"/>
              <w:spacing w:line="360" w:lineRule="auto"/>
              <w:jc w:val="center"/>
              <w:rPr>
                <w:color w:val="auto"/>
                <w:sz w:val="22"/>
                <w:szCs w:val="22"/>
              </w:rPr>
            </w:pPr>
            <w:r w:rsidRPr="00A52EF3">
              <w:rPr>
                <w:color w:val="auto"/>
                <w:sz w:val="22"/>
                <w:szCs w:val="22"/>
              </w:rPr>
              <w:t>"Prosument"</w:t>
            </w:r>
          </w:p>
          <w:p w:rsidR="005869E2" w:rsidRPr="00A52EF3" w:rsidRDefault="005869E2" w:rsidP="00086D7D">
            <w:pPr>
              <w:pStyle w:val="Default"/>
              <w:spacing w:line="360" w:lineRule="auto"/>
              <w:jc w:val="center"/>
              <w:rPr>
                <w:rFonts w:eastAsiaTheme="minorEastAsia"/>
                <w:color w:val="auto"/>
                <w:sz w:val="22"/>
                <w:szCs w:val="22"/>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3151,5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1147,04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Modernizacja oświetlenia ulicznego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Wymiana opraw oświetleniowych na energooszczędne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2016-202</w:t>
            </w:r>
            <w:r w:rsidR="00554F04" w:rsidRPr="00A52EF3">
              <w:rPr>
                <w:rFonts w:ascii="Times New Roman" w:hAnsi="Times New Roman" w:cs="Times New Roman"/>
                <w:sz w:val="22"/>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869E2" w:rsidRPr="00A52EF3" w:rsidRDefault="005869E2" w:rsidP="00086D7D">
            <w:pPr>
              <w:spacing w:line="360" w:lineRule="auto"/>
              <w:jc w:val="center"/>
              <w:rPr>
                <w:rFonts w:ascii="Times New Roman" w:eastAsiaTheme="minorEastAsia" w:hAnsi="Times New Roman" w:cs="Times New Roman"/>
                <w:sz w:val="22"/>
              </w:rPr>
            </w:pPr>
            <w:r w:rsidRPr="00A52EF3">
              <w:rPr>
                <w:rFonts w:ascii="Times New Roman" w:hAnsi="Times New Roman" w:cs="Times New Roman"/>
                <w:sz w:val="22"/>
              </w:rPr>
              <w:t>500000,00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69E2" w:rsidRPr="00A52EF3" w:rsidRDefault="005869E2" w:rsidP="00086D7D">
            <w:pPr>
              <w:pStyle w:val="Default"/>
              <w:spacing w:line="360" w:lineRule="auto"/>
              <w:jc w:val="center"/>
              <w:rPr>
                <w:rFonts w:eastAsiaTheme="minorEastAsia"/>
                <w:color w:val="auto"/>
                <w:sz w:val="22"/>
                <w:szCs w:val="22"/>
              </w:rPr>
            </w:pPr>
            <w:r w:rsidRPr="00A52EF3">
              <w:rPr>
                <w:color w:val="auto"/>
                <w:sz w:val="22"/>
                <w:szCs w:val="22"/>
              </w:rPr>
              <w:t>Budżet Gminy/ RPO województwa świętokrzyskiego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bCs/>
                <w:color w:val="auto"/>
                <w:sz w:val="22"/>
                <w:szCs w:val="22"/>
              </w:rPr>
              <w:t>wg planów inwestycyjnych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bCs/>
                <w:color w:val="auto"/>
                <w:sz w:val="22"/>
                <w:szCs w:val="22"/>
              </w:rPr>
              <w:t>wg planów inwestycyjnych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w:t>
            </w:r>
          </w:p>
        </w:tc>
      </w:tr>
      <w:tr w:rsidR="00F45F14" w:rsidRPr="00A52EF3" w:rsidTr="00573463">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rsidR="00F45F14" w:rsidRPr="00A52EF3" w:rsidRDefault="00F45F14" w:rsidP="00086D7D">
            <w:pPr>
              <w:spacing w:line="360" w:lineRule="auto"/>
              <w:jc w:val="center"/>
              <w:rPr>
                <w:rFonts w:ascii="Times New Roman" w:hAnsi="Times New Roman" w:cs="Times New Roman"/>
                <w:sz w:val="22"/>
              </w:rPr>
            </w:pPr>
            <w:r w:rsidRPr="00A52EF3">
              <w:rPr>
                <w:rFonts w:ascii="Times New Roman" w:hAnsi="Times New Roman" w:cs="Times New Roman"/>
                <w:sz w:val="22"/>
              </w:rPr>
              <w:t>Zmniejszenie zużycia energii w transporcie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5F14" w:rsidRPr="00A52EF3" w:rsidRDefault="00F45F14" w:rsidP="00086D7D">
            <w:pPr>
              <w:spacing w:line="360" w:lineRule="auto"/>
              <w:jc w:val="center"/>
              <w:rPr>
                <w:rFonts w:ascii="Times New Roman" w:hAnsi="Times New Roman" w:cs="Times New Roman"/>
              </w:rPr>
            </w:pPr>
            <w:r w:rsidRPr="00A52EF3">
              <w:rPr>
                <w:rFonts w:ascii="Times New Roman" w:hAnsi="Times New Roman" w:cs="Times New Roman"/>
              </w:rPr>
              <w:t>Modernizacja dróg gminnych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5F14" w:rsidRPr="00A52EF3" w:rsidRDefault="00F45F14" w:rsidP="00086D7D">
            <w:pPr>
              <w:spacing w:line="360" w:lineRule="auto"/>
              <w:jc w:val="center"/>
              <w:rPr>
                <w:rFonts w:ascii="Times New Roman" w:hAnsi="Times New Roman" w:cs="Times New Roman"/>
              </w:rPr>
            </w:pPr>
            <w:r w:rsidRPr="00A52EF3">
              <w:rPr>
                <w:rFonts w:ascii="Times New Roman" w:hAnsi="Times New Roman" w:cs="Times New Roman"/>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5F14" w:rsidRPr="00A52EF3" w:rsidRDefault="00F45F14" w:rsidP="00086D7D">
            <w:pPr>
              <w:spacing w:line="360" w:lineRule="auto"/>
              <w:jc w:val="center"/>
              <w:rPr>
                <w:rFonts w:ascii="Times New Roman" w:hAnsi="Times New Roman" w:cs="Times New Roman"/>
              </w:rPr>
            </w:pPr>
            <w:r w:rsidRPr="00A52EF3">
              <w:rPr>
                <w:rFonts w:ascii="Times New Roman" w:hAnsi="Times New Roman" w:cs="Times New Roman"/>
              </w:rPr>
              <w:t>2016-2020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45F14" w:rsidRPr="00A52EF3" w:rsidRDefault="00F45F14" w:rsidP="00086D7D">
            <w:pPr>
              <w:spacing w:line="360" w:lineRule="auto"/>
              <w:jc w:val="center"/>
              <w:rPr>
                <w:rFonts w:ascii="Times New Roman" w:hAnsi="Times New Roman" w:cs="Times New Roman"/>
              </w:rPr>
            </w:pPr>
            <w:r w:rsidRPr="00A52EF3">
              <w:rPr>
                <w:rFonts w:ascii="Times New Roman" w:hAnsi="Times New Roman" w:cs="Times New Roman"/>
              </w:rPr>
              <w:t>b.d.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5F14" w:rsidRPr="00A52EF3" w:rsidRDefault="00F45F14" w:rsidP="00086D7D">
            <w:pPr>
              <w:pStyle w:val="Default"/>
              <w:spacing w:line="360" w:lineRule="auto"/>
              <w:jc w:val="center"/>
              <w:rPr>
                <w:color w:val="auto"/>
                <w:sz w:val="22"/>
                <w:szCs w:val="22"/>
              </w:rPr>
            </w:pPr>
            <w:r w:rsidRPr="00A52EF3">
              <w:rPr>
                <w:color w:val="auto"/>
                <w:sz w:val="22"/>
                <w:szCs w:val="22"/>
              </w:rPr>
              <w:t>Budżet Gminy/ RPO województwa świętokrzyskiego</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5F14" w:rsidRPr="00A52EF3" w:rsidRDefault="00937259" w:rsidP="00086D7D">
            <w:pPr>
              <w:pStyle w:val="Default"/>
              <w:spacing w:line="360" w:lineRule="auto"/>
              <w:jc w:val="center"/>
              <w:rPr>
                <w:color w:val="auto"/>
                <w:sz w:val="22"/>
                <w:szCs w:val="22"/>
              </w:rPr>
            </w:pPr>
            <w:r w:rsidRPr="00A52EF3">
              <w:rPr>
                <w:color w:val="auto"/>
                <w:sz w:val="22"/>
                <w:szCs w:val="22"/>
              </w:rPr>
              <w:t>Niemożliwe obliczenie redukcji emisji z transportu po modernizacji dróg na tym etapie projektu</w:t>
            </w:r>
            <w:r w:rsidR="00953900" w:rsidRPr="00A52EF3">
              <w:rPr>
                <w:color w:val="auto"/>
                <w:sz w:val="22"/>
                <w:szCs w:val="22"/>
              </w:rPr>
              <w:t>, zostanie obliczone po wykonaniu modernizac</w:t>
            </w:r>
            <w:r w:rsidR="00244584" w:rsidRPr="00A52EF3">
              <w:rPr>
                <w:color w:val="auto"/>
                <w:sz w:val="22"/>
                <w:szCs w:val="22"/>
              </w:rPr>
              <w:t>j</w:t>
            </w:r>
            <w:r w:rsidR="00953900" w:rsidRPr="00A52EF3">
              <w:rPr>
                <w:color w:val="auto"/>
                <w:sz w:val="22"/>
                <w:szCs w:val="22"/>
              </w:rPr>
              <w:t>i</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lastRenderedPageBreak/>
              <w:t>Zwiększenie świadomości ekologicznej mieszkańców Gminy Brody, promocja odnawialnych źródeł energii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 kampanie edukacyjno–informacyjne z zakresu zrównoważonego zużycia energii i ekologii i odnawialnych źródeł energii</w:t>
            </w:r>
          </w:p>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 xml:space="preserve">- działania edukacyjne skierowane do dzieci </w:t>
            </w:r>
            <w:r w:rsidRPr="00A52EF3">
              <w:rPr>
                <w:rFonts w:ascii="Times New Roman" w:hAnsi="Times New Roman" w:cs="Times New Roman"/>
                <w:sz w:val="22"/>
              </w:rPr>
              <w:br/>
              <w:t>i młodzieży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zadanie ciągłe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b.d.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953900" w:rsidP="00086D7D">
            <w:pPr>
              <w:spacing w:line="360" w:lineRule="auto"/>
              <w:jc w:val="center"/>
              <w:rPr>
                <w:rFonts w:ascii="Times New Roman" w:hAnsi="Times New Roman" w:cs="Times New Roman"/>
                <w:sz w:val="22"/>
              </w:rPr>
            </w:pPr>
            <w:r w:rsidRPr="00A52EF3">
              <w:rPr>
                <w:rFonts w:ascii="Times New Roman" w:hAnsi="Times New Roman" w:cs="Times New Roman"/>
                <w:sz w:val="22"/>
              </w:rPr>
              <w:t>Środki krajowe</w:t>
            </w:r>
            <w:r w:rsidR="005869E2" w:rsidRPr="00A52EF3">
              <w:rPr>
                <w:rFonts w:ascii="Times New Roman" w:hAnsi="Times New Roman" w:cs="Times New Roman"/>
                <w:sz w:val="22"/>
              </w:rPr>
              <w:t>, budżet własny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5869E2" w:rsidP="00B07DD5">
            <w:pPr>
              <w:spacing w:line="360" w:lineRule="auto"/>
              <w:jc w:val="center"/>
              <w:rPr>
                <w:rFonts w:ascii="Times New Roman" w:hAnsi="Times New Roman" w:cs="Times New Roman"/>
                <w:sz w:val="22"/>
              </w:rPr>
            </w:pPr>
            <w:r w:rsidRPr="00A52EF3">
              <w:rPr>
                <w:rFonts w:ascii="Times New Roman" w:hAnsi="Times New Roman" w:cs="Times New Roman"/>
                <w:sz w:val="22"/>
              </w:rPr>
              <w:t>-</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sz w:val="22"/>
              </w:rPr>
              <w:t>Edukacja ekologiczna w zakresie spalania biomasy – propozycja działań w zakresie nieemisyjnych źródeł (w tym inne OZE, olej opałowy)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B07DD5">
            <w:pPr>
              <w:spacing w:line="360" w:lineRule="auto"/>
              <w:jc w:val="center"/>
              <w:rPr>
                <w:rFonts w:ascii="Times New Roman" w:hAnsi="Times New Roman" w:cs="Times New Roman"/>
                <w:sz w:val="22"/>
              </w:rPr>
            </w:pPr>
            <w:r w:rsidRPr="00A52EF3">
              <w:rPr>
                <w:rFonts w:ascii="Times New Roman" w:hAnsi="Times New Roman" w:cs="Times New Roman"/>
                <w:sz w:val="22"/>
              </w:rPr>
              <w:t xml:space="preserve">- kampanie edukacyjno–informacyjne </w:t>
            </w:r>
          </w:p>
          <w:p w:rsidR="00B07DD5" w:rsidRPr="00A52EF3" w:rsidRDefault="00B07DD5" w:rsidP="00B07DD5">
            <w:pPr>
              <w:spacing w:line="360" w:lineRule="auto"/>
              <w:jc w:val="center"/>
              <w:rPr>
                <w:rFonts w:ascii="Times New Roman" w:hAnsi="Times New Roman" w:cs="Times New Roman"/>
                <w:sz w:val="22"/>
              </w:rPr>
            </w:pPr>
            <w:r w:rsidRPr="00A52EF3">
              <w:rPr>
                <w:rFonts w:ascii="Times New Roman" w:hAnsi="Times New Roman" w:cs="Times New Roman"/>
                <w:sz w:val="22"/>
              </w:rPr>
              <w:t>- działania edukacyjne skierowane do właścicieli gospodarstw i przedsiębiorstw</w:t>
            </w:r>
          </w:p>
          <w:p w:rsidR="00B07DD5" w:rsidRPr="00A52EF3" w:rsidRDefault="00B07DD5" w:rsidP="00B07DD5">
            <w:pPr>
              <w:spacing w:line="360" w:lineRule="auto"/>
              <w:jc w:val="center"/>
              <w:rPr>
                <w:rFonts w:ascii="Times New Roman" w:hAnsi="Times New Roman" w:cs="Times New Roman"/>
                <w:sz w:val="22"/>
              </w:rPr>
            </w:pPr>
          </w:p>
          <w:p w:rsidR="00B07DD5" w:rsidRPr="00A52EF3" w:rsidRDefault="00B07DD5" w:rsidP="00B07DD5">
            <w:pPr>
              <w:spacing w:line="360" w:lineRule="auto"/>
              <w:jc w:val="center"/>
              <w:rPr>
                <w:rFonts w:ascii="Times New Roman" w:hAnsi="Times New Roman" w:cs="Times New Roman"/>
                <w:sz w:val="22"/>
              </w:rPr>
            </w:pPr>
          </w:p>
          <w:p w:rsidR="00B07DD5" w:rsidRPr="00A52EF3" w:rsidRDefault="00B07DD5" w:rsidP="00B07DD5">
            <w:pPr>
              <w:spacing w:line="360" w:lineRule="auto"/>
              <w:jc w:val="center"/>
              <w:rPr>
                <w:rFonts w:ascii="Times New Roman" w:hAnsi="Times New Roman"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sz w:val="22"/>
              </w:rPr>
              <w:t>zadanie ciągłe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sz w:val="22"/>
              </w:rPr>
              <w:t>b.d.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953900" w:rsidP="00086D7D">
            <w:pPr>
              <w:spacing w:line="360" w:lineRule="auto"/>
              <w:jc w:val="center"/>
              <w:rPr>
                <w:rFonts w:ascii="Times New Roman" w:hAnsi="Times New Roman" w:cs="Times New Roman"/>
              </w:rPr>
            </w:pPr>
            <w:r w:rsidRPr="00A52EF3">
              <w:rPr>
                <w:rFonts w:ascii="Times New Roman" w:hAnsi="Times New Roman" w:cs="Times New Roman"/>
                <w:sz w:val="22"/>
              </w:rPr>
              <w:t>Środki krajowe</w:t>
            </w:r>
            <w:r w:rsidR="00B07DD5" w:rsidRPr="00A52EF3">
              <w:rPr>
                <w:rFonts w:ascii="Times New Roman" w:hAnsi="Times New Roman" w:cs="Times New Roman"/>
                <w:sz w:val="22"/>
              </w:rPr>
              <w:t>, budżet własny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086D7D">
            <w:pPr>
              <w:spacing w:line="360" w:lineRule="auto"/>
              <w:jc w:val="center"/>
              <w:rPr>
                <w:rFonts w:ascii="Times New Roman" w:hAnsi="Times New Roman" w:cs="Times New Roman"/>
              </w:rPr>
            </w:pPr>
            <w:r w:rsidRPr="00A52EF3">
              <w:rPr>
                <w:rFonts w:ascii="Times New Roman" w:hAnsi="Times New Roman" w:cs="Times New Roman"/>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7DD5" w:rsidRPr="00A52EF3" w:rsidRDefault="00B07DD5" w:rsidP="00B07DD5">
            <w:pPr>
              <w:spacing w:line="360" w:lineRule="auto"/>
              <w:jc w:val="center"/>
              <w:rPr>
                <w:rFonts w:ascii="Times New Roman" w:hAnsi="Times New Roman" w:cs="Times New Roman"/>
              </w:rPr>
            </w:pPr>
            <w:r w:rsidRPr="00A52EF3">
              <w:rPr>
                <w:rFonts w:ascii="Times New Roman" w:hAnsi="Times New Roman" w:cs="Times New Roman"/>
              </w:rPr>
              <w:t>-</w:t>
            </w:r>
          </w:p>
        </w:tc>
      </w:tr>
      <w:tr w:rsidR="00953900" w:rsidRPr="00A52EF3" w:rsidTr="00086D7D">
        <w:trPr>
          <w:cantSplit/>
          <w:trHeight w:val="42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lastRenderedPageBreak/>
              <w:t xml:space="preserve">Uwzględnianie </w:t>
            </w:r>
            <w:r w:rsidRPr="00A52EF3">
              <w:rPr>
                <w:color w:val="auto"/>
                <w:sz w:val="22"/>
                <w:szCs w:val="22"/>
              </w:rPr>
              <w:br/>
              <w:t>w planach zagospodarowania przestrzennego inwestycji efektywnych energetycznie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9135A4">
            <w:pPr>
              <w:autoSpaceDE w:val="0"/>
              <w:autoSpaceDN w:val="0"/>
              <w:adjustRightInd w:val="0"/>
              <w:spacing w:line="360" w:lineRule="auto"/>
              <w:jc w:val="center"/>
              <w:rPr>
                <w:rFonts w:ascii="Times New Roman" w:hAnsi="Times New Roman" w:cs="Times New Roman"/>
                <w:sz w:val="22"/>
              </w:rPr>
            </w:pPr>
            <w:r w:rsidRPr="00A52EF3">
              <w:rPr>
                <w:rFonts w:ascii="Times New Roman" w:hAnsi="Times New Roman" w:cs="Times New Roman"/>
                <w:sz w:val="22"/>
              </w:rPr>
              <w:t xml:space="preserve">Uwzględnianie </w:t>
            </w:r>
            <w:r w:rsidRPr="00A52EF3">
              <w:rPr>
                <w:rFonts w:ascii="Times New Roman" w:hAnsi="Times New Roman" w:cs="Times New Roman"/>
                <w:sz w:val="22"/>
              </w:rPr>
              <w:br/>
              <w:t xml:space="preserve">w planach zagospodarowania przestrzennego wymogów dotyczących zaopatrywania mieszkań w ciepło </w:t>
            </w:r>
            <w:r w:rsidRPr="00A52EF3">
              <w:rPr>
                <w:rFonts w:ascii="Times New Roman" w:hAnsi="Times New Roman" w:cs="Times New Roman"/>
                <w:sz w:val="22"/>
              </w:rPr>
              <w:br/>
              <w:t>z niskoemisyjnych nośników poprzez m.in. ograniczenie używania źródeł ciepła na paliwa stałe, stosowanie na budynkach instalacji OZE.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Gmina Brody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zadanie ciągłe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953900" w:rsidP="00086D7D">
            <w:pPr>
              <w:spacing w:line="360" w:lineRule="auto"/>
              <w:jc w:val="center"/>
              <w:rPr>
                <w:rFonts w:ascii="Times New Roman" w:hAnsi="Times New Roman" w:cs="Times New Roman"/>
                <w:sz w:val="22"/>
              </w:rPr>
            </w:pPr>
            <w:r w:rsidRPr="00A52EF3">
              <w:rPr>
                <w:rFonts w:ascii="Times New Roman" w:hAnsi="Times New Roman" w:cs="Times New Roman"/>
                <w:sz w:val="22"/>
              </w:rPr>
              <w:t>Środki krajowe</w:t>
            </w:r>
            <w:r w:rsidR="005869E2" w:rsidRPr="00A52EF3">
              <w:rPr>
                <w:rFonts w:ascii="Times New Roman" w:hAnsi="Times New Roman" w:cs="Times New Roman"/>
                <w:sz w:val="22"/>
              </w:rPr>
              <w:t>, budżet własny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spacing w:line="360" w:lineRule="auto"/>
              <w:jc w:val="center"/>
              <w:rPr>
                <w:rFonts w:ascii="Times New Roman" w:hAnsi="Times New Roman" w:cs="Times New Roman"/>
                <w:sz w:val="22"/>
              </w:rPr>
            </w:pPr>
            <w:r w:rsidRPr="00A52EF3">
              <w:rPr>
                <w:rFonts w:ascii="Times New Roman" w:hAnsi="Times New Roman" w:cs="Times New Roman"/>
                <w:sz w:val="22"/>
              </w:rPr>
              <w:t>-</w:t>
            </w:r>
          </w:p>
        </w:tc>
      </w:tr>
      <w:tr w:rsidR="005869E2" w:rsidRPr="00A52EF3" w:rsidTr="00086D7D">
        <w:trPr>
          <w:cantSplit/>
          <w:trHeight w:val="424"/>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5869E2" w:rsidRPr="00A52EF3" w:rsidRDefault="005869E2" w:rsidP="00086D7D">
            <w:pPr>
              <w:pStyle w:val="Default"/>
              <w:spacing w:line="360" w:lineRule="auto"/>
              <w:jc w:val="center"/>
              <w:rPr>
                <w:b/>
                <w:color w:val="auto"/>
                <w:sz w:val="22"/>
                <w:szCs w:val="22"/>
              </w:rPr>
            </w:pPr>
            <w:r w:rsidRPr="00A52EF3">
              <w:rPr>
                <w:b/>
                <w:color w:val="auto"/>
                <w:sz w:val="22"/>
                <w:szCs w:val="22"/>
              </w:rPr>
              <w:t>SUMA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8446,1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3341,09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69E2" w:rsidRPr="00A52EF3" w:rsidRDefault="005869E2" w:rsidP="00086D7D">
            <w:pPr>
              <w:pStyle w:val="Default"/>
              <w:spacing w:line="360" w:lineRule="auto"/>
              <w:jc w:val="center"/>
              <w:rPr>
                <w:color w:val="auto"/>
                <w:sz w:val="22"/>
                <w:szCs w:val="22"/>
              </w:rPr>
            </w:pPr>
            <w:r w:rsidRPr="00A52EF3">
              <w:rPr>
                <w:color w:val="auto"/>
                <w:sz w:val="22"/>
                <w:szCs w:val="22"/>
              </w:rPr>
              <w:t>511,52</w:t>
            </w:r>
          </w:p>
        </w:tc>
      </w:tr>
      <w:bookmarkEnd w:id="96"/>
    </w:tbl>
    <w:p w:rsidR="009511B5" w:rsidRPr="00A52EF3" w:rsidRDefault="009511B5" w:rsidP="00F25FCA">
      <w:pPr>
        <w:spacing w:line="360" w:lineRule="auto"/>
        <w:rPr>
          <w:rFonts w:ascii="Times New Roman" w:hAnsi="Times New Roman" w:cs="Times New Roman"/>
        </w:rPr>
        <w:sectPr w:rsidR="009511B5" w:rsidRPr="00A52EF3" w:rsidSect="003E001F">
          <w:headerReference w:type="default" r:id="rId43"/>
          <w:footerReference w:type="default" r:id="rId44"/>
          <w:pgSz w:w="16838" w:h="11906" w:orient="landscape"/>
          <w:pgMar w:top="720" w:right="720" w:bottom="720" w:left="720" w:header="708" w:footer="708" w:gutter="0"/>
          <w:cols w:space="708"/>
          <w:docGrid w:linePitch="360"/>
        </w:sectPr>
      </w:pPr>
    </w:p>
    <w:p w:rsidR="0030157C" w:rsidRPr="00A52EF3" w:rsidRDefault="0030157C" w:rsidP="00681313">
      <w:pPr>
        <w:pStyle w:val="Nagwek2"/>
        <w:numPr>
          <w:ilvl w:val="1"/>
          <w:numId w:val="89"/>
        </w:numPr>
        <w:spacing w:after="200" w:line="360" w:lineRule="auto"/>
        <w:rPr>
          <w:rFonts w:ascii="Times New Roman" w:hAnsi="Times New Roman" w:cs="Times New Roman"/>
          <w:color w:val="auto"/>
          <w:sz w:val="24"/>
          <w:szCs w:val="24"/>
        </w:rPr>
      </w:pPr>
      <w:bookmarkStart w:id="100" w:name="_Toc442426540"/>
      <w:bookmarkStart w:id="101" w:name="_Toc449097758"/>
      <w:bookmarkStart w:id="102" w:name="_Toc451417937"/>
      <w:bookmarkStart w:id="103" w:name="_Toc470764037"/>
      <w:r w:rsidRPr="00A52EF3">
        <w:rPr>
          <w:rFonts w:ascii="Times New Roman" w:hAnsi="Times New Roman" w:cs="Times New Roman"/>
          <w:color w:val="auto"/>
          <w:sz w:val="24"/>
          <w:szCs w:val="24"/>
        </w:rPr>
        <w:lastRenderedPageBreak/>
        <w:t>Analiza porównawcza</w:t>
      </w:r>
      <w:bookmarkEnd w:id="103"/>
    </w:p>
    <w:p w:rsidR="0030157C" w:rsidRPr="00A52EF3" w:rsidRDefault="0030157C" w:rsidP="0030157C">
      <w:pPr>
        <w:spacing w:after="0" w:line="360" w:lineRule="auto"/>
        <w:rPr>
          <w:rFonts w:ascii="Times New Roman" w:hAnsi="Times New Roman" w:cs="Times New Roman"/>
          <w:sz w:val="24"/>
          <w:szCs w:val="18"/>
        </w:rPr>
      </w:pPr>
      <w:r w:rsidRPr="00A52EF3">
        <w:rPr>
          <w:rFonts w:ascii="Times New Roman" w:hAnsi="Times New Roman" w:cs="Times New Roman"/>
          <w:sz w:val="24"/>
          <w:szCs w:val="18"/>
        </w:rPr>
        <w:t>Poniższa tabela przedstawia dane porównanie sytuacji w Gminie Brody jeśli zostaną zastosowane krótko/średnio terminowe działania/zadania:</w:t>
      </w:r>
    </w:p>
    <w:p w:rsidR="0030157C" w:rsidRPr="00A52EF3" w:rsidRDefault="0030157C" w:rsidP="0030157C">
      <w:pPr>
        <w:spacing w:after="0" w:line="360" w:lineRule="auto"/>
        <w:rPr>
          <w:rFonts w:ascii="Times New Roman" w:hAnsi="Times New Roman" w:cs="Times New Roman"/>
          <w:sz w:val="24"/>
          <w:szCs w:val="18"/>
        </w:rPr>
      </w:pPr>
    </w:p>
    <w:tbl>
      <w:tblPr>
        <w:tblStyle w:val="Tabela-Siatka"/>
        <w:tblW w:w="0" w:type="auto"/>
        <w:tblLook w:val="04A0" w:firstRow="1" w:lastRow="0" w:firstColumn="1" w:lastColumn="0" w:noHBand="0" w:noVBand="1"/>
      </w:tblPr>
      <w:tblGrid>
        <w:gridCol w:w="3041"/>
        <w:gridCol w:w="3042"/>
        <w:gridCol w:w="3043"/>
      </w:tblGrid>
      <w:tr w:rsidR="0030157C" w:rsidRPr="00A52EF3" w:rsidTr="0030157C">
        <w:trPr>
          <w:trHeight w:val="467"/>
        </w:trPr>
        <w:tc>
          <w:tcPr>
            <w:tcW w:w="3041" w:type="dxa"/>
            <w:vMerge w:val="restart"/>
            <w:vAlign w:val="center"/>
          </w:tcPr>
          <w:p w:rsidR="0030157C" w:rsidRPr="00A52EF3" w:rsidRDefault="0030157C" w:rsidP="0030157C">
            <w:pPr>
              <w:jc w:val="center"/>
              <w:rPr>
                <w:rFonts w:ascii="Times New Roman" w:hAnsi="Times New Roman" w:cs="Times New Roman"/>
                <w:sz w:val="24"/>
              </w:rPr>
            </w:pPr>
          </w:p>
        </w:tc>
        <w:tc>
          <w:tcPr>
            <w:tcW w:w="6085" w:type="dxa"/>
            <w:gridSpan w:val="2"/>
            <w:vAlign w:val="center"/>
          </w:tcPr>
          <w:p w:rsidR="0030157C" w:rsidRPr="00A52EF3" w:rsidRDefault="0030157C" w:rsidP="0030157C">
            <w:pPr>
              <w:jc w:val="center"/>
              <w:rPr>
                <w:rFonts w:ascii="Times New Roman" w:hAnsi="Times New Roman" w:cs="Times New Roman"/>
                <w:sz w:val="24"/>
              </w:rPr>
            </w:pPr>
            <w:r w:rsidRPr="00A52EF3">
              <w:rPr>
                <w:rFonts w:ascii="Times New Roman" w:hAnsi="Times New Roman" w:cs="Times New Roman"/>
                <w:sz w:val="24"/>
              </w:rPr>
              <w:t>Rok 2020</w:t>
            </w:r>
          </w:p>
        </w:tc>
      </w:tr>
      <w:tr w:rsidR="0030157C" w:rsidRPr="00A52EF3" w:rsidTr="002D0C43">
        <w:trPr>
          <w:trHeight w:val="184"/>
        </w:trPr>
        <w:tc>
          <w:tcPr>
            <w:tcW w:w="3041" w:type="dxa"/>
            <w:vMerge/>
            <w:vAlign w:val="center"/>
          </w:tcPr>
          <w:p w:rsidR="0030157C" w:rsidRPr="00A52EF3" w:rsidRDefault="0030157C" w:rsidP="0030157C">
            <w:pPr>
              <w:jc w:val="center"/>
              <w:rPr>
                <w:rFonts w:ascii="Times New Roman" w:hAnsi="Times New Roman" w:cs="Times New Roman"/>
                <w:sz w:val="24"/>
              </w:rPr>
            </w:pPr>
          </w:p>
        </w:tc>
        <w:tc>
          <w:tcPr>
            <w:tcW w:w="3042" w:type="dxa"/>
            <w:vAlign w:val="center"/>
          </w:tcPr>
          <w:p w:rsidR="0030157C" w:rsidRPr="00A52EF3" w:rsidRDefault="0030157C" w:rsidP="0030157C">
            <w:pPr>
              <w:jc w:val="center"/>
              <w:rPr>
                <w:rFonts w:ascii="Times New Roman" w:hAnsi="Times New Roman" w:cs="Times New Roman"/>
                <w:sz w:val="24"/>
              </w:rPr>
            </w:pPr>
            <w:r w:rsidRPr="00A52EF3">
              <w:rPr>
                <w:rFonts w:ascii="Times New Roman" w:hAnsi="Times New Roman" w:cs="Times New Roman"/>
                <w:sz w:val="24"/>
              </w:rPr>
              <w:t>Bez działań</w:t>
            </w:r>
          </w:p>
        </w:tc>
        <w:tc>
          <w:tcPr>
            <w:tcW w:w="3043" w:type="dxa"/>
            <w:vAlign w:val="center"/>
          </w:tcPr>
          <w:p w:rsidR="0030157C" w:rsidRPr="00A52EF3" w:rsidRDefault="0030157C" w:rsidP="0030157C">
            <w:pPr>
              <w:jc w:val="center"/>
              <w:rPr>
                <w:rFonts w:ascii="Times New Roman" w:hAnsi="Times New Roman" w:cs="Times New Roman"/>
                <w:sz w:val="24"/>
              </w:rPr>
            </w:pPr>
            <w:r w:rsidRPr="00A52EF3">
              <w:rPr>
                <w:rFonts w:ascii="Times New Roman" w:hAnsi="Times New Roman" w:cs="Times New Roman"/>
                <w:sz w:val="24"/>
              </w:rPr>
              <w:t>Z podjętymi działaniami</w:t>
            </w:r>
          </w:p>
        </w:tc>
      </w:tr>
      <w:tr w:rsidR="0030157C" w:rsidRPr="00A52EF3" w:rsidTr="002D0C43">
        <w:trPr>
          <w:trHeight w:val="467"/>
        </w:trPr>
        <w:tc>
          <w:tcPr>
            <w:tcW w:w="3041" w:type="dxa"/>
            <w:vAlign w:val="center"/>
          </w:tcPr>
          <w:p w:rsidR="0030157C" w:rsidRPr="00A52EF3" w:rsidRDefault="0030157C" w:rsidP="009135A4">
            <w:pPr>
              <w:jc w:val="center"/>
              <w:rPr>
                <w:rFonts w:ascii="Times New Roman" w:hAnsi="Times New Roman" w:cs="Times New Roman"/>
                <w:sz w:val="24"/>
              </w:rPr>
            </w:pPr>
            <w:r w:rsidRPr="00A52EF3">
              <w:rPr>
                <w:rFonts w:ascii="Times New Roman" w:hAnsi="Times New Roman" w:cs="Times New Roman"/>
                <w:sz w:val="24"/>
              </w:rPr>
              <w:t>Zużycie energii</w:t>
            </w:r>
            <w:r w:rsidR="002D0C43" w:rsidRPr="00A52EF3">
              <w:rPr>
                <w:rFonts w:ascii="Times New Roman" w:hAnsi="Times New Roman" w:cs="Times New Roman"/>
                <w:sz w:val="24"/>
              </w:rPr>
              <w:t xml:space="preserve"> </w:t>
            </w:r>
            <w:r w:rsidR="009135A4" w:rsidRPr="00A52EF3">
              <w:rPr>
                <w:rFonts w:ascii="Times New Roman" w:hAnsi="Times New Roman" w:cs="Times New Roman"/>
                <w:sz w:val="24"/>
              </w:rPr>
              <w:t>[MWh/rok]</w:t>
            </w:r>
          </w:p>
        </w:tc>
        <w:tc>
          <w:tcPr>
            <w:tcW w:w="3042" w:type="dxa"/>
            <w:vAlign w:val="center"/>
          </w:tcPr>
          <w:p w:rsidR="0030157C" w:rsidRPr="00A52EF3" w:rsidRDefault="002D0C43" w:rsidP="0030157C">
            <w:pPr>
              <w:jc w:val="center"/>
              <w:rPr>
                <w:rFonts w:ascii="Times New Roman" w:hAnsi="Times New Roman" w:cs="Times New Roman"/>
                <w:sz w:val="24"/>
              </w:rPr>
            </w:pPr>
            <w:r w:rsidRPr="00A52EF3">
              <w:rPr>
                <w:rFonts w:ascii="Times New Roman" w:hAnsi="Times New Roman" w:cs="Times New Roman"/>
                <w:sz w:val="24"/>
              </w:rPr>
              <w:t>147 573,67</w:t>
            </w:r>
          </w:p>
        </w:tc>
        <w:tc>
          <w:tcPr>
            <w:tcW w:w="3043" w:type="dxa"/>
            <w:vAlign w:val="center"/>
          </w:tcPr>
          <w:p w:rsidR="0030157C" w:rsidRPr="00A52EF3" w:rsidRDefault="002D0C43" w:rsidP="0030157C">
            <w:pPr>
              <w:jc w:val="center"/>
              <w:rPr>
                <w:rFonts w:ascii="Times New Roman" w:hAnsi="Times New Roman" w:cs="Times New Roman"/>
                <w:sz w:val="24"/>
              </w:rPr>
            </w:pPr>
            <w:r w:rsidRPr="00A52EF3">
              <w:rPr>
                <w:rFonts w:ascii="Times New Roman" w:hAnsi="Times New Roman" w:cs="Times New Roman"/>
                <w:sz w:val="24"/>
              </w:rPr>
              <w:t>139 127,57</w:t>
            </w:r>
          </w:p>
        </w:tc>
      </w:tr>
      <w:tr w:rsidR="002D0C43" w:rsidRPr="00A52EF3" w:rsidTr="002D0C43">
        <w:trPr>
          <w:trHeight w:val="495"/>
        </w:trPr>
        <w:tc>
          <w:tcPr>
            <w:tcW w:w="3041" w:type="dxa"/>
            <w:vAlign w:val="center"/>
          </w:tcPr>
          <w:p w:rsidR="002D0C43" w:rsidRPr="00A52EF3" w:rsidRDefault="002D0C43" w:rsidP="009135A4">
            <w:pPr>
              <w:jc w:val="center"/>
              <w:rPr>
                <w:rFonts w:ascii="Times New Roman" w:hAnsi="Times New Roman" w:cs="Times New Roman"/>
                <w:sz w:val="24"/>
              </w:rPr>
            </w:pPr>
            <w:r w:rsidRPr="00A52EF3">
              <w:rPr>
                <w:rFonts w:ascii="Times New Roman" w:hAnsi="Times New Roman" w:cs="Times New Roman"/>
                <w:sz w:val="24"/>
              </w:rPr>
              <w:t xml:space="preserve">Emisja CO2 </w:t>
            </w:r>
            <w:r w:rsidR="009135A4" w:rsidRPr="00A52EF3">
              <w:rPr>
                <w:rFonts w:ascii="Times New Roman" w:hAnsi="Times New Roman" w:cs="Times New Roman"/>
                <w:sz w:val="24"/>
              </w:rPr>
              <w:t xml:space="preserve">[Mg/rok] </w:t>
            </w:r>
          </w:p>
        </w:tc>
        <w:tc>
          <w:tcPr>
            <w:tcW w:w="3042" w:type="dxa"/>
            <w:vAlign w:val="center"/>
          </w:tcPr>
          <w:p w:rsidR="002D0C43" w:rsidRPr="00A52EF3" w:rsidRDefault="002D0C43" w:rsidP="00573463">
            <w:pPr>
              <w:jc w:val="center"/>
              <w:rPr>
                <w:rFonts w:ascii="Times New Roman" w:hAnsi="Times New Roman" w:cs="Times New Roman"/>
                <w:sz w:val="24"/>
              </w:rPr>
            </w:pPr>
            <w:r w:rsidRPr="00A52EF3">
              <w:rPr>
                <w:rFonts w:ascii="Times New Roman" w:hAnsi="Times New Roman" w:cs="Times New Roman"/>
                <w:sz w:val="24"/>
              </w:rPr>
              <w:t>56 385,42</w:t>
            </w:r>
          </w:p>
        </w:tc>
        <w:tc>
          <w:tcPr>
            <w:tcW w:w="3043" w:type="dxa"/>
            <w:vAlign w:val="center"/>
          </w:tcPr>
          <w:p w:rsidR="002D0C43" w:rsidRPr="00A52EF3" w:rsidRDefault="002D0C43" w:rsidP="00573463">
            <w:pPr>
              <w:jc w:val="center"/>
              <w:rPr>
                <w:rFonts w:ascii="Times New Roman" w:hAnsi="Times New Roman" w:cs="Times New Roman"/>
                <w:sz w:val="24"/>
              </w:rPr>
            </w:pPr>
            <w:r w:rsidRPr="00A52EF3">
              <w:rPr>
                <w:rFonts w:ascii="Times New Roman" w:hAnsi="Times New Roman" w:cs="Times New Roman"/>
                <w:sz w:val="24"/>
              </w:rPr>
              <w:t>53 044,33</w:t>
            </w:r>
          </w:p>
        </w:tc>
      </w:tr>
      <w:tr w:rsidR="002D0C43" w:rsidRPr="00A52EF3" w:rsidTr="002D0C43">
        <w:trPr>
          <w:trHeight w:val="522"/>
        </w:trPr>
        <w:tc>
          <w:tcPr>
            <w:tcW w:w="3041" w:type="dxa"/>
            <w:vAlign w:val="center"/>
          </w:tcPr>
          <w:p w:rsidR="002D0C43" w:rsidRPr="00A52EF3" w:rsidRDefault="003E77BC" w:rsidP="0030157C">
            <w:pPr>
              <w:jc w:val="center"/>
              <w:rPr>
                <w:rFonts w:ascii="Times New Roman" w:hAnsi="Times New Roman" w:cs="Times New Roman"/>
                <w:sz w:val="24"/>
              </w:rPr>
            </w:pPr>
            <w:r w:rsidRPr="00A52EF3">
              <w:rPr>
                <w:rFonts w:ascii="Times New Roman" w:hAnsi="Times New Roman" w:cs="Times New Roman"/>
                <w:sz w:val="24"/>
              </w:rPr>
              <w:t>Udział energii</w:t>
            </w:r>
            <w:r w:rsidR="002D0C43" w:rsidRPr="00A52EF3">
              <w:rPr>
                <w:rFonts w:ascii="Times New Roman" w:hAnsi="Times New Roman" w:cs="Times New Roman"/>
                <w:sz w:val="24"/>
              </w:rPr>
              <w:t xml:space="preserve"> z OZE</w:t>
            </w:r>
            <w:r w:rsidR="009135A4" w:rsidRPr="00A52EF3">
              <w:rPr>
                <w:rFonts w:ascii="Times New Roman" w:hAnsi="Times New Roman" w:cs="Times New Roman"/>
                <w:sz w:val="24"/>
              </w:rPr>
              <w:t xml:space="preserve"> [MWh/rok]</w:t>
            </w:r>
          </w:p>
        </w:tc>
        <w:tc>
          <w:tcPr>
            <w:tcW w:w="3042" w:type="dxa"/>
            <w:vAlign w:val="center"/>
          </w:tcPr>
          <w:p w:rsidR="002D0C43" w:rsidRPr="00A52EF3" w:rsidRDefault="009135A4" w:rsidP="0030157C">
            <w:pPr>
              <w:jc w:val="center"/>
              <w:rPr>
                <w:rFonts w:ascii="Times New Roman" w:hAnsi="Times New Roman" w:cs="Times New Roman"/>
                <w:sz w:val="24"/>
              </w:rPr>
            </w:pPr>
            <w:r w:rsidRPr="00A52EF3">
              <w:rPr>
                <w:rFonts w:ascii="Times New Roman" w:hAnsi="Times New Roman" w:cs="Times New Roman"/>
                <w:sz w:val="24"/>
              </w:rPr>
              <w:t>72972,96</w:t>
            </w:r>
          </w:p>
        </w:tc>
        <w:tc>
          <w:tcPr>
            <w:tcW w:w="3043" w:type="dxa"/>
            <w:vAlign w:val="center"/>
          </w:tcPr>
          <w:p w:rsidR="002D0C43" w:rsidRPr="00A52EF3" w:rsidRDefault="009135A4" w:rsidP="0030157C">
            <w:pPr>
              <w:jc w:val="center"/>
              <w:rPr>
                <w:rFonts w:ascii="Times New Roman" w:hAnsi="Times New Roman" w:cs="Times New Roman"/>
                <w:sz w:val="24"/>
              </w:rPr>
            </w:pPr>
            <w:r w:rsidRPr="00A52EF3">
              <w:rPr>
                <w:rFonts w:ascii="Times New Roman" w:hAnsi="Times New Roman" w:cs="Times New Roman"/>
                <w:sz w:val="24"/>
              </w:rPr>
              <w:t>73484,48</w:t>
            </w:r>
          </w:p>
        </w:tc>
      </w:tr>
    </w:tbl>
    <w:p w:rsidR="0030157C" w:rsidRPr="00A52EF3" w:rsidRDefault="0030157C" w:rsidP="0030157C">
      <w:pPr>
        <w:rPr>
          <w:rFonts w:ascii="Times New Roman" w:hAnsi="Times New Roman" w:cs="Times New Roman"/>
        </w:rPr>
      </w:pPr>
    </w:p>
    <w:p w:rsidR="0030157C" w:rsidRPr="00A52EF3" w:rsidRDefault="0030157C" w:rsidP="00E9020D">
      <w:pPr>
        <w:pStyle w:val="Nagwek2"/>
        <w:spacing w:after="200" w:line="360" w:lineRule="auto"/>
        <w:rPr>
          <w:rFonts w:ascii="Times New Roman" w:hAnsi="Times New Roman" w:cs="Times New Roman"/>
          <w:color w:val="auto"/>
          <w:sz w:val="24"/>
          <w:szCs w:val="24"/>
        </w:rPr>
      </w:pPr>
    </w:p>
    <w:p w:rsidR="00E9020D" w:rsidRPr="00A52EF3" w:rsidRDefault="00E9020D" w:rsidP="00681313">
      <w:pPr>
        <w:pStyle w:val="Nagwek2"/>
        <w:numPr>
          <w:ilvl w:val="1"/>
          <w:numId w:val="89"/>
        </w:numPr>
        <w:spacing w:after="200" w:line="360" w:lineRule="auto"/>
        <w:rPr>
          <w:rFonts w:ascii="Times New Roman" w:hAnsi="Times New Roman" w:cs="Times New Roman"/>
          <w:color w:val="auto"/>
          <w:sz w:val="24"/>
          <w:szCs w:val="24"/>
        </w:rPr>
      </w:pPr>
      <w:bookmarkStart w:id="104" w:name="_Toc470764038"/>
      <w:r w:rsidRPr="00A52EF3">
        <w:rPr>
          <w:rFonts w:ascii="Times New Roman" w:hAnsi="Times New Roman" w:cs="Times New Roman"/>
          <w:color w:val="auto"/>
          <w:sz w:val="24"/>
          <w:szCs w:val="24"/>
        </w:rPr>
        <w:t>Działanie nieinswestycyjne.</w:t>
      </w:r>
      <w:bookmarkEnd w:id="104"/>
    </w:p>
    <w:p w:rsidR="00E9020D" w:rsidRPr="00A52EF3" w:rsidRDefault="00E9020D" w:rsidP="00E9020D">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ab/>
        <w:t>Działania nieinwestycyjne w obszarze zamówień publicznych planuje się wdrażać poprzez wprowadzenie wymogu oceniania korzyści środowiskowych w procesie wyłaniania najkorzystniejszych ofert. Regulacja ta miałaby wymagać od władz gminnych dołączanie do rachunku ekonomicznego, także kosztów środowiskowych ponoszonych przez inwestora gminnego. W tej sytuacji każde działanie obniżające koszty ponoszone przez środowisko, a zatem mieszkańców, obniża równocześnie kompleksowe koszty ekonomiczne każdej realizowanej inwestycji. Idealną sytuacją jest działanie inwestycyjne, które ponosi również koszty środowiskowe, a nie wyłącznie koszty ekonomiczne realizowanych działań. Miernik tych działań, jaki mógłby zostać zaimplementowany jest liczba zamówień publicznych, które zastosowały powyższą propozycję. Takie działanie jest również doskonałym przykładem dla mieszkańców, lokalnych przedsiębiorców i potencjalnych inwestorów zewnętrznych, realizującym unijną politykę środowiskową.</w:t>
      </w:r>
    </w:p>
    <w:p w:rsidR="00E9020D" w:rsidRPr="00A52EF3" w:rsidRDefault="00E9020D" w:rsidP="00E9020D">
      <w:pPr>
        <w:spacing w:line="360" w:lineRule="auto"/>
        <w:jc w:val="both"/>
        <w:rPr>
          <w:rFonts w:ascii="Times New Roman" w:hAnsi="Times New Roman" w:cs="Times New Roman"/>
          <w:sz w:val="24"/>
          <w:szCs w:val="24"/>
        </w:rPr>
      </w:pPr>
    </w:p>
    <w:p w:rsidR="00DB16AC" w:rsidRPr="00A52EF3" w:rsidRDefault="00DB16AC" w:rsidP="00E9020D">
      <w:pPr>
        <w:spacing w:line="360" w:lineRule="auto"/>
        <w:jc w:val="both"/>
        <w:rPr>
          <w:rFonts w:ascii="Times New Roman" w:hAnsi="Times New Roman" w:cs="Times New Roman"/>
          <w:sz w:val="24"/>
          <w:szCs w:val="24"/>
        </w:rPr>
      </w:pPr>
    </w:p>
    <w:p w:rsidR="00E9020D" w:rsidRPr="00A52EF3" w:rsidRDefault="00E9020D" w:rsidP="00681313">
      <w:pPr>
        <w:pStyle w:val="Nagwek2"/>
        <w:numPr>
          <w:ilvl w:val="1"/>
          <w:numId w:val="89"/>
        </w:numPr>
        <w:spacing w:after="200" w:line="360" w:lineRule="auto"/>
        <w:rPr>
          <w:rFonts w:ascii="Times New Roman" w:hAnsi="Times New Roman" w:cs="Times New Roman"/>
          <w:color w:val="auto"/>
          <w:sz w:val="24"/>
          <w:szCs w:val="24"/>
        </w:rPr>
      </w:pPr>
      <w:bookmarkStart w:id="105" w:name="_Toc470764039"/>
      <w:r w:rsidRPr="00A52EF3">
        <w:rPr>
          <w:rFonts w:ascii="Times New Roman" w:hAnsi="Times New Roman" w:cs="Times New Roman"/>
          <w:color w:val="auto"/>
          <w:sz w:val="24"/>
          <w:szCs w:val="24"/>
        </w:rPr>
        <w:lastRenderedPageBreak/>
        <w:t>Planowanie przestrzenne</w:t>
      </w:r>
      <w:bookmarkEnd w:id="105"/>
    </w:p>
    <w:p w:rsidR="00E9020D" w:rsidRPr="00A52EF3" w:rsidRDefault="00E9020D" w:rsidP="00E9020D">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ab/>
        <w:t>Planuje się również wprowadzenie zagadnień gospodarki niskoemisyjnej do planowania przestrzennego gminy. Celem tego działania jest wprowadzenie i harmonijne połączenie ekologii, rozwoju przestrzennego gminy, kierunków rozbudowy infrastruktury i zabudowy, a także sposobów zagospodarowywania i wykorzystywania terenów. Wskaźnikiem jaki mógłby być tutaj zastosowany to np. powierzchnia obszarów objętych nowych regulacyjna, ilość uchwał dotyczących mpzp).</w:t>
      </w:r>
    </w:p>
    <w:p w:rsidR="00E9020D" w:rsidRPr="00A52EF3" w:rsidRDefault="00E9020D" w:rsidP="00E9020D">
      <w:pPr>
        <w:spacing w:line="360" w:lineRule="auto"/>
        <w:jc w:val="both"/>
        <w:rPr>
          <w:rFonts w:ascii="Times New Roman" w:hAnsi="Times New Roman" w:cs="Times New Roman"/>
          <w:sz w:val="24"/>
          <w:szCs w:val="24"/>
        </w:rPr>
      </w:pPr>
    </w:p>
    <w:p w:rsidR="00E9020D" w:rsidRPr="00A52EF3" w:rsidRDefault="00E9020D" w:rsidP="00681313">
      <w:pPr>
        <w:pStyle w:val="Nagwek1"/>
        <w:numPr>
          <w:ilvl w:val="0"/>
          <w:numId w:val="89"/>
        </w:numPr>
        <w:spacing w:after="200" w:line="360" w:lineRule="auto"/>
        <w:rPr>
          <w:rFonts w:ascii="Times New Roman" w:hAnsi="Times New Roman" w:cs="Times New Roman"/>
          <w:color w:val="auto"/>
          <w:sz w:val="24"/>
          <w:szCs w:val="24"/>
        </w:rPr>
      </w:pPr>
      <w:bookmarkStart w:id="106" w:name="_Toc470764040"/>
      <w:r w:rsidRPr="00A52EF3">
        <w:rPr>
          <w:rFonts w:ascii="Times New Roman" w:hAnsi="Times New Roman" w:cs="Times New Roman"/>
          <w:color w:val="auto"/>
          <w:sz w:val="24"/>
          <w:szCs w:val="24"/>
        </w:rPr>
        <w:t>Strategii komunikacji</w:t>
      </w:r>
      <w:bookmarkEnd w:id="106"/>
    </w:p>
    <w:p w:rsidR="00E9020D" w:rsidRPr="00A52EF3" w:rsidRDefault="00E9020D" w:rsidP="00E9020D">
      <w:p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ab/>
        <w:t>Każde działanie realizowane przez administrację publiczną powinno być wynikiem realizacji misji służby społeczeństwu. Prowadzenie inwestycji i wykorzystywanie pieniędzy publicznych winno być prowadzono w sposób transparentny, a także w sposób uzasadniony. Akceptacja wprowadzenia założeń gospodarki niskoemisyjnej zostanie uzyskana przez działania edukacyjne i informacyjne organizowane przez Gminę Brody. Oprócz wkładu własnego planuje się współfinansowanie tych działań edukacyjno-informacyjnych z dwóch źródeł:</w:t>
      </w:r>
    </w:p>
    <w:p w:rsidR="00E9020D" w:rsidRPr="00A52EF3" w:rsidRDefault="00E9020D" w:rsidP="00E9020D">
      <w:pPr>
        <w:pStyle w:val="Akapitzlist"/>
        <w:numPr>
          <w:ilvl w:val="0"/>
          <w:numId w:val="8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Środki krajowe, Programy na  2015-2020 – Edukacja ekologiczna. </w:t>
      </w:r>
      <w:r w:rsidR="00B07DD5" w:rsidRPr="00A52EF3">
        <w:rPr>
          <w:rFonts w:ascii="Times New Roman" w:hAnsi="Times New Roman" w:cs="Times New Roman"/>
          <w:sz w:val="24"/>
          <w:szCs w:val="24"/>
        </w:rPr>
        <w:t>Pozyskiwane z W</w:t>
      </w:r>
      <w:r w:rsidRPr="00A52EF3">
        <w:rPr>
          <w:rFonts w:ascii="Times New Roman" w:hAnsi="Times New Roman" w:cs="Times New Roman"/>
          <w:sz w:val="24"/>
          <w:szCs w:val="24"/>
        </w:rPr>
        <w:t>FOŚiGW.</w:t>
      </w:r>
    </w:p>
    <w:p w:rsidR="00953900" w:rsidRPr="00A52EF3" w:rsidRDefault="00244584" w:rsidP="00E9020D">
      <w:pPr>
        <w:pStyle w:val="Akapitzlist"/>
        <w:numPr>
          <w:ilvl w:val="0"/>
          <w:numId w:val="8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 xml:space="preserve">Fundusze z Regionalnego Programu Województwa Świętokrzyskiego </w:t>
      </w:r>
    </w:p>
    <w:p w:rsidR="00E9020D" w:rsidRPr="00A52EF3" w:rsidRDefault="00E9020D" w:rsidP="00F25FCA">
      <w:pPr>
        <w:pStyle w:val="Nagwek2"/>
        <w:spacing w:line="360" w:lineRule="auto"/>
        <w:rPr>
          <w:rStyle w:val="Nagwek2Znak"/>
          <w:rFonts w:ascii="Times New Roman" w:hAnsi="Times New Roman" w:cs="Times New Roman"/>
          <w:b/>
          <w:bCs/>
          <w:color w:val="auto"/>
        </w:rPr>
      </w:pPr>
    </w:p>
    <w:p w:rsidR="00E9020D" w:rsidRPr="00A52EF3" w:rsidRDefault="00E9020D"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AE756A" w:rsidRPr="00A52EF3" w:rsidRDefault="00AE756A" w:rsidP="00E9020D">
      <w:pPr>
        <w:rPr>
          <w:rFonts w:ascii="Times New Roman" w:hAnsi="Times New Roman" w:cs="Times New Roman"/>
        </w:rPr>
      </w:pPr>
    </w:p>
    <w:p w:rsidR="002B3BD1" w:rsidRPr="00A52EF3" w:rsidRDefault="002B3BD1" w:rsidP="00681313">
      <w:pPr>
        <w:pStyle w:val="Nagwek1"/>
        <w:numPr>
          <w:ilvl w:val="0"/>
          <w:numId w:val="89"/>
        </w:numPr>
        <w:rPr>
          <w:rStyle w:val="Nagwek2Znak"/>
          <w:rFonts w:ascii="Times New Roman" w:hAnsi="Times New Roman" w:cs="Times New Roman"/>
          <w:b/>
          <w:bCs/>
          <w:color w:val="auto"/>
          <w:sz w:val="28"/>
        </w:rPr>
      </w:pPr>
      <w:bookmarkStart w:id="107" w:name="_Toc470764041"/>
      <w:r w:rsidRPr="00A52EF3">
        <w:rPr>
          <w:rStyle w:val="Nagwek2Znak"/>
          <w:rFonts w:ascii="Times New Roman" w:hAnsi="Times New Roman" w:cs="Times New Roman"/>
          <w:b/>
          <w:bCs/>
          <w:color w:val="auto"/>
          <w:sz w:val="28"/>
        </w:rPr>
        <w:lastRenderedPageBreak/>
        <w:t>Efekt realizacji działań objętych Planem Gospodarki Niskoemisyjnej</w:t>
      </w:r>
      <w:bookmarkEnd w:id="100"/>
      <w:bookmarkEnd w:id="101"/>
      <w:bookmarkEnd w:id="102"/>
      <w:bookmarkEnd w:id="10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141"/>
        <w:gridCol w:w="2230"/>
      </w:tblGrid>
      <w:tr w:rsidR="00314327" w:rsidRPr="00A52EF3" w:rsidTr="00575D2C">
        <w:trPr>
          <w:cantSplit/>
        </w:trPr>
        <w:tc>
          <w:tcPr>
            <w:tcW w:w="8863" w:type="dxa"/>
            <w:gridSpan w:val="3"/>
            <w:tcBorders>
              <w:top w:val="nil"/>
              <w:left w:val="nil"/>
              <w:bottom w:val="single" w:sz="4" w:space="0" w:color="auto"/>
              <w:right w:val="nil"/>
            </w:tcBorders>
            <w:vAlign w:val="center"/>
          </w:tcPr>
          <w:p w:rsidR="002B3BD1" w:rsidRPr="00A52EF3" w:rsidRDefault="002B3BD1" w:rsidP="00F25FCA">
            <w:pPr>
              <w:pStyle w:val="Tabela"/>
              <w:spacing w:line="360" w:lineRule="auto"/>
              <w:rPr>
                <w:rFonts w:ascii="Times New Roman" w:hAnsi="Times New Roman" w:cs="Times New Roman"/>
                <w:i w:val="0"/>
              </w:rPr>
            </w:pPr>
            <w:bookmarkStart w:id="108" w:name="_Toc418529183"/>
          </w:p>
          <w:p w:rsidR="002B3BD1" w:rsidRPr="00A52EF3" w:rsidRDefault="002B3BD1" w:rsidP="00F25FCA">
            <w:pPr>
              <w:pStyle w:val="Tabela"/>
              <w:spacing w:line="360" w:lineRule="auto"/>
              <w:rPr>
                <w:rFonts w:ascii="Times New Roman" w:hAnsi="Times New Roman" w:cs="Times New Roman"/>
                <w:bCs/>
                <w:i w:val="0"/>
              </w:rPr>
            </w:pPr>
            <w:r w:rsidRPr="00A52EF3">
              <w:rPr>
                <w:rFonts w:ascii="Times New Roman" w:hAnsi="Times New Roman" w:cs="Times New Roman"/>
                <w:i w:val="0"/>
              </w:rPr>
              <w:t>Efekty wybranych usprawnień termomodernizacyjnych.</w:t>
            </w:r>
            <w:bookmarkEnd w:id="108"/>
          </w:p>
        </w:tc>
      </w:tr>
      <w:tr w:rsidR="00314327" w:rsidRPr="00A52EF3" w:rsidTr="00575D2C">
        <w:tc>
          <w:tcPr>
            <w:tcW w:w="492" w:type="dxa"/>
            <w:tcBorders>
              <w:top w:val="single" w:sz="4" w:space="0" w:color="auto"/>
              <w:left w:val="single" w:sz="4" w:space="0" w:color="auto"/>
              <w:bottom w:val="single" w:sz="4" w:space="0" w:color="auto"/>
            </w:tcBorders>
            <w:vAlign w:val="center"/>
          </w:tcPr>
          <w:p w:rsidR="002B3BD1" w:rsidRPr="00A52EF3" w:rsidRDefault="002B3BD1" w:rsidP="00F25FCA">
            <w:pPr>
              <w:spacing w:line="360" w:lineRule="auto"/>
              <w:jc w:val="center"/>
              <w:rPr>
                <w:rFonts w:ascii="Times New Roman" w:hAnsi="Times New Roman" w:cs="Times New Roman"/>
                <w:b/>
                <w:sz w:val="20"/>
              </w:rPr>
            </w:pPr>
            <w:r w:rsidRPr="00A52EF3">
              <w:rPr>
                <w:rFonts w:ascii="Times New Roman" w:hAnsi="Times New Roman" w:cs="Times New Roman"/>
                <w:b/>
                <w:sz w:val="20"/>
              </w:rPr>
              <w:t>Lp.</w:t>
            </w:r>
          </w:p>
        </w:tc>
        <w:tc>
          <w:tcPr>
            <w:tcW w:w="6141" w:type="dxa"/>
            <w:tcBorders>
              <w:top w:val="single" w:sz="4" w:space="0" w:color="auto"/>
              <w:bottom w:val="single" w:sz="4" w:space="0" w:color="auto"/>
            </w:tcBorders>
            <w:vAlign w:val="center"/>
          </w:tcPr>
          <w:p w:rsidR="002B3BD1" w:rsidRPr="00A52EF3" w:rsidRDefault="002B3BD1" w:rsidP="00F25FCA">
            <w:pPr>
              <w:spacing w:line="360" w:lineRule="auto"/>
              <w:jc w:val="center"/>
              <w:rPr>
                <w:rFonts w:ascii="Times New Roman" w:hAnsi="Times New Roman" w:cs="Times New Roman"/>
                <w:b/>
                <w:sz w:val="20"/>
              </w:rPr>
            </w:pPr>
            <w:r w:rsidRPr="00A52EF3">
              <w:rPr>
                <w:rFonts w:ascii="Times New Roman" w:hAnsi="Times New Roman" w:cs="Times New Roman"/>
                <w:b/>
                <w:sz w:val="20"/>
              </w:rPr>
              <w:t>Sposób uzyskania oszczędności</w:t>
            </w:r>
          </w:p>
        </w:tc>
        <w:tc>
          <w:tcPr>
            <w:tcW w:w="2230" w:type="dxa"/>
            <w:tcBorders>
              <w:top w:val="single" w:sz="4" w:space="0" w:color="auto"/>
              <w:bottom w:val="single" w:sz="4" w:space="0" w:color="auto"/>
              <w:right w:val="single" w:sz="4" w:space="0" w:color="auto"/>
            </w:tcBorders>
            <w:vAlign w:val="center"/>
          </w:tcPr>
          <w:p w:rsidR="002B3BD1" w:rsidRPr="00A52EF3" w:rsidRDefault="002B3BD1" w:rsidP="00F25FCA">
            <w:pPr>
              <w:spacing w:line="360" w:lineRule="auto"/>
              <w:jc w:val="center"/>
              <w:rPr>
                <w:rFonts w:ascii="Times New Roman" w:hAnsi="Times New Roman" w:cs="Times New Roman"/>
                <w:b/>
                <w:sz w:val="20"/>
              </w:rPr>
            </w:pPr>
            <w:r w:rsidRPr="00A52EF3">
              <w:rPr>
                <w:rFonts w:ascii="Times New Roman" w:hAnsi="Times New Roman" w:cs="Times New Roman"/>
                <w:b/>
                <w:sz w:val="20"/>
              </w:rPr>
              <w:t xml:space="preserve">Obniżenie zużycia ciepła w stosunku do </w:t>
            </w:r>
            <w:r w:rsidR="00E67F9A" w:rsidRPr="00A52EF3">
              <w:rPr>
                <w:rFonts w:ascii="Times New Roman" w:hAnsi="Times New Roman" w:cs="Times New Roman"/>
                <w:b/>
                <w:sz w:val="20"/>
              </w:rPr>
              <w:t>roku bazowego</w:t>
            </w:r>
          </w:p>
        </w:tc>
      </w:tr>
      <w:tr w:rsidR="00314327" w:rsidRPr="00A52EF3" w:rsidTr="00575D2C">
        <w:tc>
          <w:tcPr>
            <w:tcW w:w="492"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1</w:t>
            </w:r>
          </w:p>
        </w:tc>
        <w:tc>
          <w:tcPr>
            <w:tcW w:w="6141"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2</w:t>
            </w:r>
          </w:p>
        </w:tc>
        <w:tc>
          <w:tcPr>
            <w:tcW w:w="2230"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3</w:t>
            </w:r>
          </w:p>
        </w:tc>
      </w:tr>
      <w:tr w:rsidR="00314327" w:rsidRPr="00A52EF3" w:rsidTr="00575D2C">
        <w:tc>
          <w:tcPr>
            <w:tcW w:w="492"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1</w:t>
            </w:r>
          </w:p>
        </w:tc>
        <w:tc>
          <w:tcPr>
            <w:tcW w:w="6141" w:type="dxa"/>
            <w:tcBorders>
              <w:top w:val="single" w:sz="4" w:space="0" w:color="auto"/>
            </w:tcBorders>
            <w:vAlign w:val="center"/>
          </w:tcPr>
          <w:p w:rsidR="002B3BD1" w:rsidRPr="00A52EF3" w:rsidRDefault="002B3BD1" w:rsidP="00F25FCA">
            <w:pPr>
              <w:spacing w:line="360" w:lineRule="auto"/>
              <w:rPr>
                <w:rFonts w:ascii="Times New Roman" w:hAnsi="Times New Roman" w:cs="Times New Roman"/>
                <w:sz w:val="20"/>
              </w:rPr>
            </w:pPr>
            <w:r w:rsidRPr="00A52EF3">
              <w:rPr>
                <w:rFonts w:ascii="Times New Roman" w:hAnsi="Times New Roman" w:cs="Times New Roman"/>
                <w:sz w:val="20"/>
              </w:rPr>
              <w:t>Ocieplenie zewnętrznych przegród budowlanych (ścian, dachu, stropodachu) – bez wymiany okien.</w:t>
            </w:r>
          </w:p>
        </w:tc>
        <w:tc>
          <w:tcPr>
            <w:tcW w:w="2230"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sz w:val="20"/>
              </w:rPr>
            </w:pPr>
            <w:r w:rsidRPr="00A52EF3">
              <w:rPr>
                <w:rFonts w:ascii="Times New Roman" w:hAnsi="Times New Roman" w:cs="Times New Roman"/>
                <w:sz w:val="20"/>
              </w:rPr>
              <w:t>15 – 25 %</w:t>
            </w:r>
          </w:p>
        </w:tc>
      </w:tr>
      <w:tr w:rsidR="00314327" w:rsidRPr="00A52EF3" w:rsidTr="00575D2C">
        <w:tc>
          <w:tcPr>
            <w:tcW w:w="492" w:type="dxa"/>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2</w:t>
            </w:r>
          </w:p>
        </w:tc>
        <w:tc>
          <w:tcPr>
            <w:tcW w:w="6141" w:type="dxa"/>
            <w:vAlign w:val="center"/>
          </w:tcPr>
          <w:p w:rsidR="002B3BD1" w:rsidRPr="00A52EF3" w:rsidRDefault="002B3BD1" w:rsidP="00F25FCA">
            <w:pPr>
              <w:spacing w:line="360" w:lineRule="auto"/>
              <w:rPr>
                <w:rFonts w:ascii="Times New Roman" w:hAnsi="Times New Roman" w:cs="Times New Roman"/>
                <w:sz w:val="20"/>
              </w:rPr>
            </w:pPr>
            <w:r w:rsidRPr="00A52EF3">
              <w:rPr>
                <w:rFonts w:ascii="Times New Roman" w:hAnsi="Times New Roman" w:cs="Times New Roman"/>
                <w:sz w:val="20"/>
              </w:rPr>
              <w:t>Wymiana okien na okna szczelne, o niższej wartości współczynnika przenikania ciepła</w:t>
            </w:r>
          </w:p>
        </w:tc>
        <w:tc>
          <w:tcPr>
            <w:tcW w:w="2230" w:type="dxa"/>
            <w:vAlign w:val="center"/>
          </w:tcPr>
          <w:p w:rsidR="002B3BD1" w:rsidRPr="00A52EF3" w:rsidRDefault="002B3BD1" w:rsidP="00F25FCA">
            <w:pPr>
              <w:spacing w:line="360" w:lineRule="auto"/>
              <w:jc w:val="center"/>
              <w:rPr>
                <w:rFonts w:ascii="Times New Roman" w:hAnsi="Times New Roman" w:cs="Times New Roman"/>
                <w:sz w:val="20"/>
              </w:rPr>
            </w:pPr>
            <w:r w:rsidRPr="00A52EF3">
              <w:rPr>
                <w:rFonts w:ascii="Times New Roman" w:hAnsi="Times New Roman" w:cs="Times New Roman"/>
                <w:sz w:val="20"/>
              </w:rPr>
              <w:t>10 – 15 %</w:t>
            </w:r>
          </w:p>
        </w:tc>
      </w:tr>
      <w:tr w:rsidR="00314327" w:rsidRPr="00A52EF3" w:rsidTr="00575D2C">
        <w:tc>
          <w:tcPr>
            <w:tcW w:w="492" w:type="dxa"/>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3</w:t>
            </w:r>
          </w:p>
        </w:tc>
        <w:tc>
          <w:tcPr>
            <w:tcW w:w="6141" w:type="dxa"/>
            <w:vAlign w:val="center"/>
          </w:tcPr>
          <w:p w:rsidR="002B3BD1" w:rsidRPr="00A52EF3" w:rsidRDefault="002B3BD1" w:rsidP="00F25FCA">
            <w:pPr>
              <w:spacing w:line="360" w:lineRule="auto"/>
              <w:rPr>
                <w:rFonts w:ascii="Times New Roman" w:hAnsi="Times New Roman" w:cs="Times New Roman"/>
                <w:sz w:val="20"/>
              </w:rPr>
            </w:pPr>
            <w:r w:rsidRPr="00A52EF3">
              <w:rPr>
                <w:rFonts w:ascii="Times New Roman" w:hAnsi="Times New Roman" w:cs="Times New Roman"/>
                <w:sz w:val="20"/>
              </w:rPr>
              <w:t>Wprowadzenie usprawnienia w węźle cieplnym lub kotłowni, w tym automatyka pogodowa i regulacyjna</w:t>
            </w:r>
          </w:p>
        </w:tc>
        <w:tc>
          <w:tcPr>
            <w:tcW w:w="2230" w:type="dxa"/>
            <w:vAlign w:val="center"/>
          </w:tcPr>
          <w:p w:rsidR="002B3BD1" w:rsidRPr="00A52EF3" w:rsidRDefault="002B3BD1" w:rsidP="00F25FCA">
            <w:pPr>
              <w:spacing w:line="360" w:lineRule="auto"/>
              <w:jc w:val="center"/>
              <w:rPr>
                <w:rFonts w:ascii="Times New Roman" w:hAnsi="Times New Roman" w:cs="Times New Roman"/>
                <w:sz w:val="20"/>
              </w:rPr>
            </w:pPr>
            <w:r w:rsidRPr="00A52EF3">
              <w:rPr>
                <w:rFonts w:ascii="Times New Roman" w:hAnsi="Times New Roman" w:cs="Times New Roman"/>
                <w:sz w:val="20"/>
              </w:rPr>
              <w:t>5 – 15 %</w:t>
            </w:r>
          </w:p>
        </w:tc>
      </w:tr>
      <w:tr w:rsidR="00314327" w:rsidRPr="00A52EF3" w:rsidTr="00575D2C">
        <w:tc>
          <w:tcPr>
            <w:tcW w:w="492" w:type="dxa"/>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4</w:t>
            </w:r>
          </w:p>
        </w:tc>
        <w:tc>
          <w:tcPr>
            <w:tcW w:w="6141" w:type="dxa"/>
            <w:vAlign w:val="center"/>
          </w:tcPr>
          <w:p w:rsidR="002B3BD1" w:rsidRPr="00A52EF3" w:rsidRDefault="002B3BD1" w:rsidP="00F25FCA">
            <w:pPr>
              <w:spacing w:line="360" w:lineRule="auto"/>
              <w:rPr>
                <w:rFonts w:ascii="Times New Roman" w:hAnsi="Times New Roman" w:cs="Times New Roman"/>
                <w:sz w:val="20"/>
              </w:rPr>
            </w:pPr>
            <w:r w:rsidRPr="00A52EF3">
              <w:rPr>
                <w:rFonts w:ascii="Times New Roman" w:hAnsi="Times New Roman" w:cs="Times New Roman"/>
                <w:sz w:val="20"/>
              </w:rPr>
              <w:t>Kompleksowa modernizacja wewnętrznej instalacji c.o., w tym hermetyzacja instalacji, izolowanie przewodów, regulacja hydrauliczna i montaż zaworów termostatycznych we wszystkich pomieszczeniach</w:t>
            </w:r>
          </w:p>
        </w:tc>
        <w:tc>
          <w:tcPr>
            <w:tcW w:w="2230" w:type="dxa"/>
            <w:vAlign w:val="center"/>
          </w:tcPr>
          <w:p w:rsidR="002B3BD1" w:rsidRPr="00A52EF3" w:rsidRDefault="002B3BD1" w:rsidP="00F25FCA">
            <w:pPr>
              <w:spacing w:line="360" w:lineRule="auto"/>
              <w:jc w:val="center"/>
              <w:rPr>
                <w:rFonts w:ascii="Times New Roman" w:hAnsi="Times New Roman" w:cs="Times New Roman"/>
                <w:sz w:val="20"/>
              </w:rPr>
            </w:pPr>
            <w:r w:rsidRPr="00A52EF3">
              <w:rPr>
                <w:rFonts w:ascii="Times New Roman" w:hAnsi="Times New Roman" w:cs="Times New Roman"/>
                <w:sz w:val="20"/>
              </w:rPr>
              <w:t>10 – 25 %</w:t>
            </w:r>
          </w:p>
        </w:tc>
      </w:tr>
      <w:tr w:rsidR="00314327" w:rsidRPr="00A52EF3" w:rsidTr="00575D2C">
        <w:tc>
          <w:tcPr>
            <w:tcW w:w="492" w:type="dxa"/>
            <w:vAlign w:val="center"/>
          </w:tcPr>
          <w:p w:rsidR="002B3BD1" w:rsidRPr="00A52EF3" w:rsidRDefault="002B3BD1" w:rsidP="00F25FCA">
            <w:pPr>
              <w:spacing w:line="360" w:lineRule="auto"/>
              <w:jc w:val="center"/>
              <w:rPr>
                <w:rFonts w:ascii="Times New Roman" w:hAnsi="Times New Roman" w:cs="Times New Roman"/>
                <w:bCs/>
                <w:sz w:val="20"/>
              </w:rPr>
            </w:pPr>
            <w:r w:rsidRPr="00A52EF3">
              <w:rPr>
                <w:rFonts w:ascii="Times New Roman" w:hAnsi="Times New Roman" w:cs="Times New Roman"/>
                <w:bCs/>
                <w:sz w:val="20"/>
              </w:rPr>
              <w:t>5</w:t>
            </w:r>
          </w:p>
        </w:tc>
        <w:tc>
          <w:tcPr>
            <w:tcW w:w="6141" w:type="dxa"/>
            <w:vAlign w:val="center"/>
          </w:tcPr>
          <w:p w:rsidR="002B3BD1" w:rsidRPr="00A52EF3" w:rsidRDefault="002B3BD1" w:rsidP="00F25FCA">
            <w:pPr>
              <w:spacing w:line="360" w:lineRule="auto"/>
              <w:rPr>
                <w:rFonts w:ascii="Times New Roman" w:hAnsi="Times New Roman" w:cs="Times New Roman"/>
                <w:sz w:val="20"/>
              </w:rPr>
            </w:pPr>
            <w:r w:rsidRPr="00A52EF3">
              <w:rPr>
                <w:rFonts w:ascii="Times New Roman" w:hAnsi="Times New Roman" w:cs="Times New Roman"/>
                <w:sz w:val="20"/>
              </w:rPr>
              <w:t>Wprowadzenie podzielników kosztów</w:t>
            </w:r>
          </w:p>
        </w:tc>
        <w:tc>
          <w:tcPr>
            <w:tcW w:w="2230" w:type="dxa"/>
            <w:vAlign w:val="center"/>
          </w:tcPr>
          <w:p w:rsidR="002B3BD1" w:rsidRPr="00A52EF3" w:rsidRDefault="002B3BD1" w:rsidP="00F25FCA">
            <w:pPr>
              <w:spacing w:line="360" w:lineRule="auto"/>
              <w:jc w:val="center"/>
              <w:rPr>
                <w:rFonts w:ascii="Times New Roman" w:hAnsi="Times New Roman" w:cs="Times New Roman"/>
                <w:sz w:val="20"/>
              </w:rPr>
            </w:pPr>
            <w:r w:rsidRPr="00A52EF3">
              <w:rPr>
                <w:rFonts w:ascii="Times New Roman" w:hAnsi="Times New Roman" w:cs="Times New Roman"/>
                <w:sz w:val="20"/>
              </w:rPr>
              <w:t>5 – 10 %</w:t>
            </w:r>
          </w:p>
        </w:tc>
      </w:tr>
    </w:tbl>
    <w:p w:rsidR="001C7D10" w:rsidRPr="00A52EF3" w:rsidRDefault="001C7D10" w:rsidP="00F25FCA">
      <w:pPr>
        <w:spacing w:line="360" w:lineRule="auto"/>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5772"/>
        <w:gridCol w:w="2482"/>
      </w:tblGrid>
      <w:tr w:rsidR="00314327" w:rsidRPr="00A52EF3" w:rsidTr="00575D2C">
        <w:trPr>
          <w:cantSplit/>
          <w:tblHeader/>
          <w:jc w:val="center"/>
        </w:trPr>
        <w:tc>
          <w:tcPr>
            <w:tcW w:w="8758" w:type="dxa"/>
            <w:gridSpan w:val="3"/>
            <w:tcBorders>
              <w:top w:val="nil"/>
              <w:left w:val="nil"/>
              <w:bottom w:val="single" w:sz="4" w:space="0" w:color="auto"/>
              <w:right w:val="nil"/>
            </w:tcBorders>
            <w:vAlign w:val="center"/>
          </w:tcPr>
          <w:p w:rsidR="002B3BD1" w:rsidRPr="00A52EF3" w:rsidRDefault="002B3BD1" w:rsidP="00F25FCA">
            <w:pPr>
              <w:pStyle w:val="Tabela"/>
              <w:spacing w:line="360" w:lineRule="auto"/>
              <w:rPr>
                <w:rFonts w:ascii="Times New Roman" w:hAnsi="Times New Roman" w:cs="Times New Roman"/>
                <w:i w:val="0"/>
                <w:szCs w:val="20"/>
              </w:rPr>
            </w:pPr>
            <w:bookmarkStart w:id="109" w:name="_Toc418529184"/>
            <w:r w:rsidRPr="00A52EF3">
              <w:rPr>
                <w:rFonts w:ascii="Times New Roman" w:hAnsi="Times New Roman" w:cs="Times New Roman"/>
                <w:i w:val="0"/>
              </w:rPr>
              <w:t>Możliwości oszczędności energii elektrycznej na poziomie użytkownika finalnego.</w:t>
            </w:r>
            <w:bookmarkEnd w:id="109"/>
          </w:p>
        </w:tc>
      </w:tr>
      <w:tr w:rsidR="00314327" w:rsidRPr="00A52EF3" w:rsidTr="00575D2C">
        <w:trPr>
          <w:tblHeader/>
          <w:jc w:val="center"/>
        </w:trPr>
        <w:tc>
          <w:tcPr>
            <w:tcW w:w="504" w:type="dxa"/>
            <w:tcBorders>
              <w:top w:val="single" w:sz="4" w:space="0" w:color="auto"/>
              <w:left w:val="single" w:sz="4" w:space="0" w:color="auto"/>
              <w:bottom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Lp.</w:t>
            </w:r>
          </w:p>
        </w:tc>
        <w:tc>
          <w:tcPr>
            <w:tcW w:w="5772" w:type="dxa"/>
            <w:tcBorders>
              <w:top w:val="single" w:sz="4" w:space="0" w:color="auto"/>
              <w:bottom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Odbiorca</w:t>
            </w:r>
          </w:p>
        </w:tc>
        <w:tc>
          <w:tcPr>
            <w:tcW w:w="2482" w:type="dxa"/>
            <w:tcBorders>
              <w:top w:val="single" w:sz="4" w:space="0" w:color="auto"/>
              <w:bottom w:val="single" w:sz="4" w:space="0" w:color="auto"/>
              <w:right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Możliwość zaoszczędzenia energii elektrycznej, %</w:t>
            </w:r>
          </w:p>
        </w:tc>
      </w:tr>
      <w:tr w:rsidR="00314327" w:rsidRPr="00A52EF3" w:rsidTr="00575D2C">
        <w:trPr>
          <w:tblHeader/>
          <w:jc w:val="center"/>
        </w:trPr>
        <w:tc>
          <w:tcPr>
            <w:tcW w:w="504"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1</w:t>
            </w:r>
          </w:p>
        </w:tc>
        <w:tc>
          <w:tcPr>
            <w:tcW w:w="5772"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2</w:t>
            </w:r>
          </w:p>
        </w:tc>
        <w:tc>
          <w:tcPr>
            <w:tcW w:w="2482" w:type="dxa"/>
            <w:tcBorders>
              <w:top w:val="single" w:sz="4" w:space="0" w:color="auto"/>
            </w:tcBorders>
            <w:vAlign w:val="center"/>
          </w:tcPr>
          <w:p w:rsidR="002B3BD1" w:rsidRPr="00A52EF3" w:rsidRDefault="002B3BD1" w:rsidP="00F25FCA">
            <w:pPr>
              <w:spacing w:line="360" w:lineRule="auto"/>
              <w:jc w:val="center"/>
              <w:rPr>
                <w:rFonts w:ascii="Times New Roman" w:hAnsi="Times New Roman" w:cs="Times New Roman"/>
                <w:b/>
                <w:bCs/>
                <w:sz w:val="20"/>
                <w:szCs w:val="20"/>
              </w:rPr>
            </w:pPr>
            <w:r w:rsidRPr="00A52EF3">
              <w:rPr>
                <w:rFonts w:ascii="Times New Roman" w:hAnsi="Times New Roman" w:cs="Times New Roman"/>
                <w:b/>
                <w:bCs/>
                <w:sz w:val="20"/>
                <w:szCs w:val="20"/>
              </w:rPr>
              <w:t>3</w:t>
            </w:r>
          </w:p>
        </w:tc>
      </w:tr>
      <w:tr w:rsidR="00314327" w:rsidRPr="00A52EF3" w:rsidTr="00575D2C">
        <w:trPr>
          <w:jc w:val="center"/>
        </w:trPr>
        <w:tc>
          <w:tcPr>
            <w:tcW w:w="504" w:type="dxa"/>
            <w:vAlign w:val="center"/>
          </w:tcPr>
          <w:p w:rsidR="002B3BD1" w:rsidRPr="00A52EF3" w:rsidRDefault="002B3BD1" w:rsidP="00F25FCA">
            <w:pPr>
              <w:pStyle w:val="Akapitzlist"/>
              <w:spacing w:line="360" w:lineRule="auto"/>
              <w:ind w:left="0"/>
              <w:jc w:val="center"/>
              <w:rPr>
                <w:rFonts w:ascii="Times New Roman" w:hAnsi="Times New Roman" w:cs="Times New Roman"/>
                <w:sz w:val="20"/>
                <w:szCs w:val="20"/>
              </w:rPr>
            </w:pPr>
            <w:r w:rsidRPr="00A52EF3">
              <w:rPr>
                <w:rFonts w:ascii="Times New Roman" w:hAnsi="Times New Roman" w:cs="Times New Roman"/>
                <w:sz w:val="20"/>
                <w:szCs w:val="20"/>
              </w:rPr>
              <w:t>1</w:t>
            </w:r>
          </w:p>
        </w:tc>
        <w:tc>
          <w:tcPr>
            <w:tcW w:w="5772" w:type="dxa"/>
            <w:vAlign w:val="center"/>
          </w:tcPr>
          <w:p w:rsidR="002B3BD1" w:rsidRPr="00A52EF3" w:rsidRDefault="002B3BD1" w:rsidP="00F25FCA">
            <w:pPr>
              <w:pStyle w:val="Akapitzlist"/>
              <w:numPr>
                <w:ilvl w:val="0"/>
                <w:numId w:val="73"/>
              </w:numPr>
              <w:spacing w:after="0" w:line="360" w:lineRule="auto"/>
              <w:ind w:left="426"/>
              <w:contextualSpacing w:val="0"/>
              <w:jc w:val="center"/>
              <w:rPr>
                <w:rFonts w:ascii="Times New Roman" w:hAnsi="Times New Roman" w:cs="Times New Roman"/>
                <w:sz w:val="20"/>
                <w:szCs w:val="20"/>
              </w:rPr>
            </w:pPr>
            <w:r w:rsidRPr="00A52EF3">
              <w:rPr>
                <w:rFonts w:ascii="Times New Roman" w:hAnsi="Times New Roman" w:cs="Times New Roman"/>
                <w:sz w:val="20"/>
                <w:szCs w:val="20"/>
              </w:rPr>
              <w:t>Przemysł, w tym:</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napędy,</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oświetlenie,</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inne</w:t>
            </w:r>
          </w:p>
        </w:tc>
        <w:tc>
          <w:tcPr>
            <w:tcW w:w="2482" w:type="dxa"/>
            <w:vAlign w:val="center"/>
          </w:tcPr>
          <w:p w:rsidR="002B3BD1" w:rsidRPr="00A52EF3" w:rsidRDefault="002B3BD1" w:rsidP="00F25FCA">
            <w:pPr>
              <w:pStyle w:val="Akapitzlist"/>
              <w:spacing w:line="360" w:lineRule="auto"/>
              <w:jc w:val="center"/>
              <w:rPr>
                <w:rFonts w:ascii="Times New Roman" w:hAnsi="Times New Roman" w:cs="Times New Roman"/>
                <w:sz w:val="20"/>
                <w:szCs w:val="20"/>
              </w:rPr>
            </w:pPr>
          </w:p>
          <w:p w:rsidR="002B3BD1" w:rsidRPr="00A52EF3" w:rsidRDefault="002B3BD1" w:rsidP="00F25FCA">
            <w:pPr>
              <w:pStyle w:val="Akapitzlist"/>
              <w:spacing w:line="360" w:lineRule="auto"/>
              <w:ind w:left="0"/>
              <w:jc w:val="center"/>
              <w:rPr>
                <w:rFonts w:ascii="Times New Roman" w:hAnsi="Times New Roman" w:cs="Times New Roman"/>
                <w:sz w:val="20"/>
                <w:szCs w:val="20"/>
              </w:rPr>
            </w:pPr>
            <w:r w:rsidRPr="00A52EF3">
              <w:rPr>
                <w:rFonts w:ascii="Times New Roman" w:hAnsi="Times New Roman" w:cs="Times New Roman"/>
                <w:sz w:val="20"/>
                <w:szCs w:val="20"/>
              </w:rPr>
              <w:t>10 – 50 %</w:t>
            </w:r>
          </w:p>
          <w:p w:rsidR="002B3BD1" w:rsidRPr="00A52EF3" w:rsidRDefault="002B3BD1" w:rsidP="00F25FCA">
            <w:pPr>
              <w:pStyle w:val="Akapitzlist"/>
              <w:spacing w:line="360" w:lineRule="auto"/>
              <w:ind w:left="0"/>
              <w:jc w:val="center"/>
              <w:rPr>
                <w:rFonts w:ascii="Times New Roman" w:hAnsi="Times New Roman" w:cs="Times New Roman"/>
                <w:sz w:val="20"/>
                <w:szCs w:val="20"/>
              </w:rPr>
            </w:pPr>
            <w:r w:rsidRPr="00A52EF3">
              <w:rPr>
                <w:rFonts w:ascii="Times New Roman" w:hAnsi="Times New Roman" w:cs="Times New Roman"/>
                <w:sz w:val="20"/>
                <w:szCs w:val="20"/>
              </w:rPr>
              <w:t>20 – 80 %</w:t>
            </w:r>
          </w:p>
          <w:p w:rsidR="002B3BD1" w:rsidRPr="00A52EF3" w:rsidRDefault="002B3BD1" w:rsidP="00F25FCA">
            <w:pPr>
              <w:pStyle w:val="Akapitzlist"/>
              <w:spacing w:line="360" w:lineRule="auto"/>
              <w:ind w:left="0"/>
              <w:jc w:val="center"/>
              <w:rPr>
                <w:rFonts w:ascii="Times New Roman" w:hAnsi="Times New Roman" w:cs="Times New Roman"/>
                <w:sz w:val="20"/>
                <w:szCs w:val="20"/>
              </w:rPr>
            </w:pPr>
            <w:r w:rsidRPr="00A52EF3">
              <w:rPr>
                <w:rFonts w:ascii="Times New Roman" w:hAnsi="Times New Roman" w:cs="Times New Roman"/>
                <w:sz w:val="20"/>
                <w:szCs w:val="20"/>
              </w:rPr>
              <w:t>20 – 30 %</w:t>
            </w:r>
          </w:p>
        </w:tc>
      </w:tr>
      <w:tr w:rsidR="00314327" w:rsidRPr="00A52EF3" w:rsidTr="00575D2C">
        <w:trPr>
          <w:jc w:val="center"/>
        </w:trPr>
        <w:tc>
          <w:tcPr>
            <w:tcW w:w="504" w:type="dxa"/>
            <w:vAlign w:val="center"/>
          </w:tcPr>
          <w:p w:rsidR="002B3BD1" w:rsidRPr="00A52EF3" w:rsidRDefault="002B3BD1" w:rsidP="00F25FCA">
            <w:pPr>
              <w:spacing w:line="360" w:lineRule="auto"/>
              <w:jc w:val="center"/>
              <w:rPr>
                <w:rFonts w:ascii="Times New Roman" w:hAnsi="Times New Roman" w:cs="Times New Roman"/>
                <w:sz w:val="20"/>
                <w:szCs w:val="20"/>
              </w:rPr>
            </w:pPr>
            <w:r w:rsidRPr="00A52EF3">
              <w:rPr>
                <w:rFonts w:ascii="Times New Roman" w:hAnsi="Times New Roman" w:cs="Times New Roman"/>
                <w:sz w:val="20"/>
                <w:szCs w:val="20"/>
              </w:rPr>
              <w:t>2</w:t>
            </w:r>
          </w:p>
        </w:tc>
        <w:tc>
          <w:tcPr>
            <w:tcW w:w="5772" w:type="dxa"/>
            <w:vAlign w:val="center"/>
          </w:tcPr>
          <w:p w:rsidR="002B3BD1" w:rsidRPr="00A52EF3" w:rsidRDefault="002B3BD1" w:rsidP="00F25FCA">
            <w:pPr>
              <w:pStyle w:val="Akapitzlist"/>
              <w:numPr>
                <w:ilvl w:val="0"/>
                <w:numId w:val="73"/>
              </w:numPr>
              <w:spacing w:after="0" w:line="360" w:lineRule="auto"/>
              <w:ind w:left="426"/>
              <w:contextualSpacing w:val="0"/>
              <w:jc w:val="center"/>
              <w:rPr>
                <w:rFonts w:ascii="Times New Roman" w:hAnsi="Times New Roman" w:cs="Times New Roman"/>
                <w:sz w:val="20"/>
                <w:szCs w:val="20"/>
              </w:rPr>
            </w:pPr>
            <w:r w:rsidRPr="00A52EF3">
              <w:rPr>
                <w:rFonts w:ascii="Times New Roman" w:hAnsi="Times New Roman" w:cs="Times New Roman"/>
                <w:sz w:val="20"/>
                <w:szCs w:val="20"/>
              </w:rPr>
              <w:t>Transport szynowy, kolejowy i miejski</w:t>
            </w:r>
          </w:p>
        </w:tc>
        <w:tc>
          <w:tcPr>
            <w:tcW w:w="2482" w:type="dxa"/>
            <w:vAlign w:val="center"/>
          </w:tcPr>
          <w:p w:rsidR="002B3BD1" w:rsidRPr="00A52EF3" w:rsidRDefault="002B3BD1" w:rsidP="00F25FCA">
            <w:pPr>
              <w:spacing w:line="360" w:lineRule="auto"/>
              <w:jc w:val="center"/>
              <w:rPr>
                <w:rFonts w:ascii="Times New Roman" w:hAnsi="Times New Roman" w:cs="Times New Roman"/>
                <w:sz w:val="20"/>
                <w:szCs w:val="20"/>
              </w:rPr>
            </w:pPr>
            <w:r w:rsidRPr="00A52EF3">
              <w:rPr>
                <w:rFonts w:ascii="Times New Roman" w:hAnsi="Times New Roman" w:cs="Times New Roman"/>
                <w:sz w:val="20"/>
                <w:szCs w:val="20"/>
              </w:rPr>
              <w:t>10 -  20 %</w:t>
            </w:r>
          </w:p>
        </w:tc>
      </w:tr>
      <w:tr w:rsidR="00314327" w:rsidRPr="00A52EF3" w:rsidTr="00575D2C">
        <w:trPr>
          <w:jc w:val="center"/>
        </w:trPr>
        <w:tc>
          <w:tcPr>
            <w:tcW w:w="504" w:type="dxa"/>
            <w:vAlign w:val="center"/>
          </w:tcPr>
          <w:p w:rsidR="002B3BD1" w:rsidRPr="00A52EF3" w:rsidRDefault="002B3BD1" w:rsidP="00F25FCA">
            <w:pPr>
              <w:pStyle w:val="Akapitzlist"/>
              <w:spacing w:line="360" w:lineRule="auto"/>
              <w:ind w:left="8"/>
              <w:jc w:val="center"/>
              <w:rPr>
                <w:rFonts w:ascii="Times New Roman" w:hAnsi="Times New Roman" w:cs="Times New Roman"/>
                <w:sz w:val="20"/>
                <w:szCs w:val="20"/>
              </w:rPr>
            </w:pPr>
            <w:r w:rsidRPr="00A52EF3">
              <w:rPr>
                <w:rFonts w:ascii="Times New Roman" w:hAnsi="Times New Roman" w:cs="Times New Roman"/>
                <w:sz w:val="20"/>
                <w:szCs w:val="20"/>
              </w:rPr>
              <w:t>3</w:t>
            </w:r>
          </w:p>
        </w:tc>
        <w:tc>
          <w:tcPr>
            <w:tcW w:w="5772" w:type="dxa"/>
            <w:vAlign w:val="center"/>
          </w:tcPr>
          <w:p w:rsidR="002B3BD1" w:rsidRPr="00A52EF3" w:rsidRDefault="002B3BD1" w:rsidP="00F25FCA">
            <w:pPr>
              <w:pStyle w:val="Akapitzlist"/>
              <w:numPr>
                <w:ilvl w:val="0"/>
                <w:numId w:val="73"/>
              </w:numPr>
              <w:spacing w:after="0" w:line="360" w:lineRule="auto"/>
              <w:ind w:left="426"/>
              <w:contextualSpacing w:val="0"/>
              <w:jc w:val="center"/>
              <w:rPr>
                <w:rFonts w:ascii="Times New Roman" w:hAnsi="Times New Roman" w:cs="Times New Roman"/>
                <w:sz w:val="20"/>
                <w:szCs w:val="20"/>
              </w:rPr>
            </w:pPr>
            <w:r w:rsidRPr="00A52EF3">
              <w:rPr>
                <w:rFonts w:ascii="Times New Roman" w:hAnsi="Times New Roman" w:cs="Times New Roman"/>
                <w:sz w:val="20"/>
                <w:szCs w:val="20"/>
              </w:rPr>
              <w:t>Gospodarstwa domowe, w tym:</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lastRenderedPageBreak/>
              <w:t>oświetlenie,</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przechowywanie żywności,</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utrzymywanie czystości (pralki, odkurzacze),</w:t>
            </w:r>
          </w:p>
          <w:p w:rsidR="002B3BD1" w:rsidRPr="00A52EF3" w:rsidRDefault="002B3BD1" w:rsidP="00F25FCA">
            <w:pPr>
              <w:pStyle w:val="Akapitzlist"/>
              <w:numPr>
                <w:ilvl w:val="0"/>
                <w:numId w:val="74"/>
              </w:numPr>
              <w:spacing w:after="0" w:line="360" w:lineRule="auto"/>
              <w:contextualSpacing w:val="0"/>
              <w:jc w:val="center"/>
              <w:rPr>
                <w:rFonts w:ascii="Times New Roman" w:hAnsi="Times New Roman" w:cs="Times New Roman"/>
                <w:sz w:val="20"/>
                <w:szCs w:val="20"/>
              </w:rPr>
            </w:pPr>
            <w:r w:rsidRPr="00A52EF3">
              <w:rPr>
                <w:rFonts w:ascii="Times New Roman" w:hAnsi="Times New Roman" w:cs="Times New Roman"/>
                <w:sz w:val="20"/>
                <w:szCs w:val="20"/>
              </w:rPr>
              <w:t>inne.</w:t>
            </w:r>
          </w:p>
        </w:tc>
        <w:tc>
          <w:tcPr>
            <w:tcW w:w="2482" w:type="dxa"/>
            <w:vAlign w:val="center"/>
          </w:tcPr>
          <w:p w:rsidR="002B3BD1" w:rsidRPr="00A52EF3" w:rsidRDefault="002B3BD1" w:rsidP="00F25FCA">
            <w:pPr>
              <w:pStyle w:val="Akapitzlist"/>
              <w:spacing w:line="360" w:lineRule="auto"/>
              <w:jc w:val="center"/>
              <w:rPr>
                <w:rFonts w:ascii="Times New Roman" w:hAnsi="Times New Roman" w:cs="Times New Roman"/>
                <w:sz w:val="20"/>
                <w:szCs w:val="20"/>
              </w:rPr>
            </w:pP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lastRenderedPageBreak/>
              <w:t>20 – 80 %</w:t>
            </w: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20 – 50 %</w:t>
            </w: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10 – 30 %</w:t>
            </w: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10 – 30 %</w:t>
            </w:r>
          </w:p>
        </w:tc>
      </w:tr>
      <w:tr w:rsidR="00314327" w:rsidRPr="00A52EF3" w:rsidTr="00575D2C">
        <w:trPr>
          <w:jc w:val="center"/>
        </w:trPr>
        <w:tc>
          <w:tcPr>
            <w:tcW w:w="504" w:type="dxa"/>
            <w:vAlign w:val="center"/>
          </w:tcPr>
          <w:p w:rsidR="002B3BD1" w:rsidRPr="00A52EF3" w:rsidRDefault="002B3BD1" w:rsidP="00F25FCA">
            <w:pPr>
              <w:pStyle w:val="Akapitzlist"/>
              <w:spacing w:line="360" w:lineRule="auto"/>
              <w:ind w:left="8"/>
              <w:jc w:val="center"/>
              <w:rPr>
                <w:rFonts w:ascii="Times New Roman" w:hAnsi="Times New Roman" w:cs="Times New Roman"/>
                <w:sz w:val="20"/>
                <w:szCs w:val="20"/>
              </w:rPr>
            </w:pPr>
            <w:r w:rsidRPr="00A52EF3">
              <w:rPr>
                <w:rFonts w:ascii="Times New Roman" w:hAnsi="Times New Roman" w:cs="Times New Roman"/>
                <w:sz w:val="20"/>
                <w:szCs w:val="20"/>
              </w:rPr>
              <w:lastRenderedPageBreak/>
              <w:t>4</w:t>
            </w:r>
          </w:p>
        </w:tc>
        <w:tc>
          <w:tcPr>
            <w:tcW w:w="5772" w:type="dxa"/>
            <w:vAlign w:val="center"/>
          </w:tcPr>
          <w:p w:rsidR="002B3BD1" w:rsidRPr="00A52EF3" w:rsidRDefault="002B3BD1" w:rsidP="00F25FCA">
            <w:pPr>
              <w:pStyle w:val="Akapitzlist"/>
              <w:numPr>
                <w:ilvl w:val="0"/>
                <w:numId w:val="73"/>
              </w:numPr>
              <w:spacing w:after="0" w:line="360" w:lineRule="auto"/>
              <w:ind w:left="426"/>
              <w:contextualSpacing w:val="0"/>
              <w:rPr>
                <w:rFonts w:ascii="Times New Roman" w:hAnsi="Times New Roman" w:cs="Times New Roman"/>
                <w:sz w:val="20"/>
                <w:szCs w:val="20"/>
              </w:rPr>
            </w:pPr>
            <w:r w:rsidRPr="00A52EF3">
              <w:rPr>
                <w:rFonts w:ascii="Times New Roman" w:hAnsi="Times New Roman" w:cs="Times New Roman"/>
                <w:sz w:val="20"/>
                <w:szCs w:val="20"/>
              </w:rPr>
              <w:t>Budynki i inni odbiorcy użyteczności publicznej:</w:t>
            </w:r>
          </w:p>
          <w:p w:rsidR="002B3BD1" w:rsidRPr="00A52EF3" w:rsidRDefault="002B3BD1" w:rsidP="00F25FCA">
            <w:pPr>
              <w:pStyle w:val="Akapitzlist"/>
              <w:numPr>
                <w:ilvl w:val="0"/>
                <w:numId w:val="74"/>
              </w:numPr>
              <w:spacing w:after="0" w:line="360" w:lineRule="auto"/>
              <w:contextualSpacing w:val="0"/>
              <w:rPr>
                <w:rFonts w:ascii="Times New Roman" w:hAnsi="Times New Roman" w:cs="Times New Roman"/>
                <w:sz w:val="20"/>
                <w:szCs w:val="20"/>
              </w:rPr>
            </w:pPr>
            <w:r w:rsidRPr="00A52EF3">
              <w:rPr>
                <w:rFonts w:ascii="Times New Roman" w:hAnsi="Times New Roman" w:cs="Times New Roman"/>
                <w:sz w:val="20"/>
                <w:szCs w:val="20"/>
              </w:rPr>
              <w:t>oświetlenie budynków,</w:t>
            </w:r>
          </w:p>
          <w:p w:rsidR="002B3BD1" w:rsidRPr="00A52EF3" w:rsidRDefault="002B3BD1" w:rsidP="00F25FCA">
            <w:pPr>
              <w:pStyle w:val="Akapitzlist"/>
              <w:numPr>
                <w:ilvl w:val="0"/>
                <w:numId w:val="74"/>
              </w:numPr>
              <w:spacing w:after="0" w:line="360" w:lineRule="auto"/>
              <w:contextualSpacing w:val="0"/>
              <w:rPr>
                <w:rFonts w:ascii="Times New Roman" w:hAnsi="Times New Roman" w:cs="Times New Roman"/>
                <w:sz w:val="20"/>
                <w:szCs w:val="20"/>
              </w:rPr>
            </w:pPr>
            <w:r w:rsidRPr="00A52EF3">
              <w:rPr>
                <w:rFonts w:ascii="Times New Roman" w:hAnsi="Times New Roman" w:cs="Times New Roman"/>
                <w:sz w:val="20"/>
                <w:szCs w:val="20"/>
              </w:rPr>
              <w:t>napędy sieci ciepłowniczych,</w:t>
            </w:r>
          </w:p>
          <w:p w:rsidR="002B3BD1" w:rsidRPr="00A52EF3" w:rsidRDefault="002B3BD1" w:rsidP="00F25FCA">
            <w:pPr>
              <w:pStyle w:val="Akapitzlist"/>
              <w:numPr>
                <w:ilvl w:val="0"/>
                <w:numId w:val="74"/>
              </w:numPr>
              <w:spacing w:after="0" w:line="360" w:lineRule="auto"/>
              <w:contextualSpacing w:val="0"/>
              <w:rPr>
                <w:rFonts w:ascii="Times New Roman" w:hAnsi="Times New Roman" w:cs="Times New Roman"/>
                <w:sz w:val="20"/>
                <w:szCs w:val="20"/>
              </w:rPr>
            </w:pPr>
            <w:r w:rsidRPr="00A52EF3">
              <w:rPr>
                <w:rFonts w:ascii="Times New Roman" w:hAnsi="Times New Roman" w:cs="Times New Roman"/>
                <w:sz w:val="20"/>
                <w:szCs w:val="20"/>
              </w:rPr>
              <w:t>oświetlenie ulic</w:t>
            </w:r>
          </w:p>
        </w:tc>
        <w:tc>
          <w:tcPr>
            <w:tcW w:w="2482" w:type="dxa"/>
            <w:vAlign w:val="center"/>
          </w:tcPr>
          <w:p w:rsidR="002B3BD1" w:rsidRPr="00A52EF3" w:rsidRDefault="002B3BD1" w:rsidP="00F25FCA">
            <w:pPr>
              <w:pStyle w:val="Akapitzlist"/>
              <w:spacing w:line="360" w:lineRule="auto"/>
              <w:rPr>
                <w:rFonts w:ascii="Times New Roman" w:hAnsi="Times New Roman" w:cs="Times New Roman"/>
                <w:sz w:val="20"/>
                <w:szCs w:val="20"/>
              </w:rPr>
            </w:pP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15 – 80 %</w:t>
            </w: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20 – 55 %</w:t>
            </w:r>
          </w:p>
          <w:p w:rsidR="002B3BD1" w:rsidRPr="00A52EF3" w:rsidRDefault="002B3BD1" w:rsidP="00F25FCA">
            <w:pPr>
              <w:pStyle w:val="Akapitzlist"/>
              <w:spacing w:line="360" w:lineRule="auto"/>
              <w:ind w:left="34"/>
              <w:jc w:val="center"/>
              <w:rPr>
                <w:rFonts w:ascii="Times New Roman" w:hAnsi="Times New Roman" w:cs="Times New Roman"/>
                <w:sz w:val="20"/>
                <w:szCs w:val="20"/>
              </w:rPr>
            </w:pPr>
            <w:r w:rsidRPr="00A52EF3">
              <w:rPr>
                <w:rFonts w:ascii="Times New Roman" w:hAnsi="Times New Roman" w:cs="Times New Roman"/>
                <w:sz w:val="20"/>
                <w:szCs w:val="20"/>
              </w:rPr>
              <w:t>20 – 40 %</w:t>
            </w:r>
          </w:p>
        </w:tc>
      </w:tr>
    </w:tbl>
    <w:p w:rsidR="002B3BD1" w:rsidRPr="00A52EF3" w:rsidRDefault="002B3BD1" w:rsidP="00F25FCA">
      <w:pPr>
        <w:pStyle w:val="Akapitzlist"/>
        <w:spacing w:line="360" w:lineRule="auto"/>
        <w:ind w:left="0" w:firstLine="720"/>
        <w:jc w:val="both"/>
        <w:rPr>
          <w:rFonts w:ascii="Times New Roman" w:hAnsi="Times New Roman" w:cs="Times New Roman"/>
          <w:sz w:val="24"/>
        </w:rPr>
      </w:pPr>
    </w:p>
    <w:p w:rsidR="002B3BD1" w:rsidRPr="00A52EF3" w:rsidRDefault="002B3BD1" w:rsidP="00F25FCA">
      <w:pPr>
        <w:pStyle w:val="Akapitzlist"/>
        <w:spacing w:line="360" w:lineRule="auto"/>
        <w:ind w:left="0" w:firstLine="720"/>
        <w:jc w:val="both"/>
        <w:rPr>
          <w:rFonts w:ascii="Times New Roman" w:hAnsi="Times New Roman" w:cs="Times New Roman"/>
          <w:sz w:val="24"/>
        </w:rPr>
      </w:pPr>
    </w:p>
    <w:p w:rsidR="002B3BD1" w:rsidRPr="00A52EF3" w:rsidRDefault="002B3BD1" w:rsidP="00F25FCA">
      <w:pPr>
        <w:pStyle w:val="Akapitzlist"/>
        <w:spacing w:line="360" w:lineRule="auto"/>
        <w:ind w:left="0" w:firstLine="720"/>
        <w:jc w:val="both"/>
        <w:rPr>
          <w:rFonts w:ascii="Times New Roman" w:hAnsi="Times New Roman" w:cs="Times New Roman"/>
          <w:sz w:val="24"/>
        </w:rPr>
      </w:pPr>
      <w:r w:rsidRPr="00A52EF3">
        <w:rPr>
          <w:rFonts w:ascii="Times New Roman" w:hAnsi="Times New Roman" w:cs="Times New Roman"/>
          <w:sz w:val="24"/>
        </w:rPr>
        <w:t>Szacowaną oszczędność energii w przypadku obiektów poddanych kompleksowej termomodernizacji przyjęto na poziomie 35 - 40% dla każdego budynku.</w:t>
      </w:r>
    </w:p>
    <w:p w:rsidR="002B3BD1" w:rsidRPr="00A52EF3" w:rsidRDefault="002B3BD1" w:rsidP="00F25FCA">
      <w:pPr>
        <w:pStyle w:val="Akapitzlist"/>
        <w:spacing w:line="360" w:lineRule="auto"/>
        <w:ind w:left="0" w:firstLine="720"/>
        <w:jc w:val="both"/>
        <w:rPr>
          <w:rFonts w:ascii="Times New Roman" w:hAnsi="Times New Roman" w:cs="Times New Roman"/>
          <w:sz w:val="24"/>
          <w:szCs w:val="24"/>
        </w:rPr>
      </w:pPr>
      <w:r w:rsidRPr="00A52EF3">
        <w:rPr>
          <w:rFonts w:ascii="Times New Roman" w:hAnsi="Times New Roman" w:cs="Times New Roman"/>
          <w:sz w:val="24"/>
          <w:szCs w:val="24"/>
        </w:rPr>
        <w:t>Według ogólnie przyjętych szacunków, przy średnim rocznym nasłonecznieniu powierzchni Ziemi, z m</w:t>
      </w:r>
      <w:r w:rsidRPr="00A52EF3">
        <w:rPr>
          <w:rFonts w:ascii="Times New Roman" w:hAnsi="Times New Roman" w:cs="Times New Roman"/>
          <w:sz w:val="24"/>
          <w:szCs w:val="24"/>
          <w:vertAlign w:val="superscript"/>
        </w:rPr>
        <w:t>2</w:t>
      </w:r>
      <w:r w:rsidRPr="00A52EF3">
        <w:rPr>
          <w:rFonts w:ascii="Times New Roman" w:hAnsi="Times New Roman" w:cs="Times New Roman"/>
          <w:sz w:val="24"/>
          <w:szCs w:val="24"/>
        </w:rPr>
        <w:t xml:space="preserve"> panelu fotowoltaicznego można uzyskać rocznie ok. 110-150 kWh energii elektrycznej. </w:t>
      </w:r>
    </w:p>
    <w:p w:rsidR="002B3BD1" w:rsidRPr="00A52EF3" w:rsidRDefault="002B3BD1" w:rsidP="00F25FCA">
      <w:pPr>
        <w:pStyle w:val="Akapitzlist"/>
        <w:spacing w:line="360" w:lineRule="auto"/>
        <w:ind w:left="0" w:firstLine="720"/>
        <w:jc w:val="both"/>
        <w:rPr>
          <w:rFonts w:ascii="Times New Roman" w:hAnsi="Times New Roman" w:cs="Times New Roman"/>
          <w:sz w:val="24"/>
          <w:szCs w:val="24"/>
        </w:rPr>
      </w:pPr>
      <w:r w:rsidRPr="00A52EF3">
        <w:rPr>
          <w:rFonts w:ascii="Times New Roman" w:hAnsi="Times New Roman" w:cs="Times New Roman"/>
          <w:sz w:val="24"/>
          <w:szCs w:val="24"/>
        </w:rPr>
        <w:t>Zakładając, że instalacja produkuje średnio 140 kWh rocznie z m</w:t>
      </w:r>
      <w:r w:rsidRPr="00A52EF3">
        <w:rPr>
          <w:rFonts w:ascii="Times New Roman" w:hAnsi="Times New Roman" w:cs="Times New Roman"/>
          <w:sz w:val="24"/>
          <w:szCs w:val="24"/>
          <w:vertAlign w:val="superscript"/>
        </w:rPr>
        <w:t>2</w:t>
      </w:r>
      <w:r w:rsidRPr="00A52EF3">
        <w:rPr>
          <w:rFonts w:ascii="Times New Roman" w:hAnsi="Times New Roman" w:cs="Times New Roman"/>
          <w:sz w:val="24"/>
          <w:szCs w:val="24"/>
        </w:rPr>
        <w:t>, to uzysk z jednego panelu o standardowym wymiarze 1,64 m</w:t>
      </w:r>
      <w:r w:rsidRPr="00A52EF3">
        <w:rPr>
          <w:rFonts w:ascii="Times New Roman" w:hAnsi="Times New Roman" w:cs="Times New Roman"/>
          <w:sz w:val="24"/>
          <w:szCs w:val="24"/>
          <w:vertAlign w:val="superscript"/>
        </w:rPr>
        <w:t>2</w:t>
      </w:r>
      <w:r w:rsidRPr="00A52EF3">
        <w:rPr>
          <w:rFonts w:ascii="Times New Roman" w:hAnsi="Times New Roman" w:cs="Times New Roman"/>
          <w:sz w:val="24"/>
          <w:szCs w:val="24"/>
        </w:rPr>
        <w:t xml:space="preserve"> wyniesie 230 kWh (140kWh x 1,64 m</w:t>
      </w:r>
      <w:r w:rsidRPr="00A52EF3">
        <w:rPr>
          <w:rFonts w:ascii="Times New Roman" w:hAnsi="Times New Roman" w:cs="Times New Roman"/>
          <w:sz w:val="24"/>
          <w:szCs w:val="24"/>
          <w:vertAlign w:val="superscript"/>
        </w:rPr>
        <w:t>2</w:t>
      </w:r>
      <w:r w:rsidRPr="00A52EF3">
        <w:rPr>
          <w:rFonts w:ascii="Times New Roman" w:hAnsi="Times New Roman" w:cs="Times New Roman"/>
          <w:sz w:val="24"/>
          <w:szCs w:val="24"/>
        </w:rPr>
        <w:t xml:space="preserve"> = 230 kWh) rocznie. Zainstalowanie 4 paneli oznaczać będzie produkcję energii na poziomie </w:t>
      </w:r>
      <w:r w:rsidRPr="00A52EF3">
        <w:rPr>
          <w:rFonts w:ascii="Times New Roman" w:hAnsi="Times New Roman" w:cs="Times New Roman"/>
          <w:sz w:val="24"/>
          <w:szCs w:val="24"/>
        </w:rPr>
        <w:br/>
        <w:t>920 kWh.</w:t>
      </w:r>
    </w:p>
    <w:p w:rsidR="00C87C63" w:rsidRPr="00A52EF3" w:rsidRDefault="002B3BD1" w:rsidP="002F103D">
      <w:pPr>
        <w:pStyle w:val="Akapitzlist"/>
        <w:spacing w:line="360" w:lineRule="auto"/>
        <w:ind w:left="0" w:firstLine="720"/>
        <w:jc w:val="both"/>
        <w:rPr>
          <w:rFonts w:ascii="Times New Roman" w:hAnsi="Times New Roman" w:cs="Times New Roman"/>
          <w:sz w:val="24"/>
          <w:szCs w:val="24"/>
        </w:rPr>
      </w:pPr>
      <w:r w:rsidRPr="00A52EF3">
        <w:rPr>
          <w:rFonts w:ascii="Times New Roman" w:hAnsi="Times New Roman" w:cs="Times New Roman"/>
          <w:sz w:val="24"/>
          <w:szCs w:val="24"/>
        </w:rPr>
        <w:t xml:space="preserve">Przyjęto, iż montaż mikroinstalacji fotowoltaicznej dla budynków jednorodzinnych </w:t>
      </w:r>
      <w:r w:rsidRPr="00A52EF3">
        <w:rPr>
          <w:rFonts w:ascii="Times New Roman" w:hAnsi="Times New Roman" w:cs="Times New Roman"/>
          <w:sz w:val="24"/>
          <w:szCs w:val="24"/>
        </w:rPr>
        <w:br/>
        <w:t>o mocy 1 kW daje roczną produkcję energii na poziomie 920 kWh.</w:t>
      </w:r>
    </w:p>
    <w:p w:rsidR="007D31BC" w:rsidRPr="00A52EF3" w:rsidRDefault="007D31BC" w:rsidP="002F103D">
      <w:pPr>
        <w:pStyle w:val="Akapitzlist"/>
        <w:spacing w:line="360" w:lineRule="auto"/>
        <w:ind w:left="0" w:firstLine="720"/>
        <w:jc w:val="both"/>
        <w:rPr>
          <w:rFonts w:ascii="Times New Roman" w:hAnsi="Times New Roman" w:cs="Times New Roman"/>
          <w:sz w:val="24"/>
          <w:szCs w:val="24"/>
        </w:rPr>
      </w:pPr>
    </w:p>
    <w:p w:rsidR="00681313" w:rsidRPr="00A52EF3" w:rsidRDefault="00681313" w:rsidP="002F103D">
      <w:pPr>
        <w:pStyle w:val="Akapitzlist"/>
        <w:spacing w:line="360" w:lineRule="auto"/>
        <w:ind w:left="0" w:firstLine="720"/>
        <w:jc w:val="both"/>
        <w:rPr>
          <w:rFonts w:ascii="Times New Roman" w:hAnsi="Times New Roman" w:cs="Times New Roman"/>
          <w:sz w:val="24"/>
          <w:szCs w:val="24"/>
        </w:rPr>
      </w:pPr>
    </w:p>
    <w:p w:rsidR="00681313" w:rsidRPr="00A52EF3" w:rsidRDefault="00681313" w:rsidP="002F103D">
      <w:pPr>
        <w:pStyle w:val="Akapitzlist"/>
        <w:spacing w:line="360" w:lineRule="auto"/>
        <w:ind w:left="0" w:firstLine="720"/>
        <w:jc w:val="both"/>
        <w:rPr>
          <w:rFonts w:ascii="Times New Roman" w:hAnsi="Times New Roman" w:cs="Times New Roman"/>
          <w:sz w:val="24"/>
          <w:szCs w:val="24"/>
        </w:rPr>
      </w:pPr>
    </w:p>
    <w:p w:rsidR="003816DC" w:rsidRPr="00A52EF3" w:rsidRDefault="003816DC" w:rsidP="00681313">
      <w:pPr>
        <w:pStyle w:val="Nagwek1"/>
        <w:numPr>
          <w:ilvl w:val="0"/>
          <w:numId w:val="89"/>
        </w:numPr>
        <w:rPr>
          <w:rStyle w:val="Nagwek2Znak"/>
          <w:rFonts w:ascii="Times New Roman" w:hAnsi="Times New Roman" w:cs="Times New Roman"/>
          <w:b/>
          <w:bCs/>
          <w:color w:val="auto"/>
          <w:sz w:val="28"/>
        </w:rPr>
      </w:pPr>
      <w:bookmarkStart w:id="110" w:name="_Toc442426541"/>
      <w:bookmarkStart w:id="111" w:name="_Toc449097759"/>
      <w:bookmarkStart w:id="112" w:name="_Toc451417938"/>
      <w:bookmarkStart w:id="113" w:name="_Toc470764042"/>
      <w:r w:rsidRPr="00A52EF3">
        <w:rPr>
          <w:rStyle w:val="Nagwek2Znak"/>
          <w:rFonts w:ascii="Times New Roman" w:hAnsi="Times New Roman" w:cs="Times New Roman"/>
          <w:b/>
          <w:bCs/>
          <w:color w:val="auto"/>
          <w:sz w:val="28"/>
        </w:rPr>
        <w:lastRenderedPageBreak/>
        <w:t xml:space="preserve">Aspekty organizacyjne i monitoring realizacji Planu Gospodarki Niskoemisyjnej dla Gminy </w:t>
      </w:r>
      <w:bookmarkEnd w:id="110"/>
      <w:bookmarkEnd w:id="111"/>
      <w:bookmarkEnd w:id="112"/>
      <w:r w:rsidRPr="00A52EF3">
        <w:rPr>
          <w:rStyle w:val="Nagwek2Znak"/>
          <w:rFonts w:ascii="Times New Roman" w:hAnsi="Times New Roman" w:cs="Times New Roman"/>
          <w:b/>
          <w:bCs/>
          <w:color w:val="auto"/>
          <w:sz w:val="28"/>
        </w:rPr>
        <w:t>Brody</w:t>
      </w:r>
      <w:bookmarkEnd w:id="113"/>
    </w:p>
    <w:p w:rsidR="003816DC" w:rsidRPr="00A52EF3" w:rsidRDefault="003816DC" w:rsidP="00F25FCA">
      <w:pPr>
        <w:spacing w:line="360" w:lineRule="auto"/>
        <w:rPr>
          <w:rFonts w:ascii="Times New Roman" w:hAnsi="Times New Roman" w:cs="Times New Roman"/>
          <w:sz w:val="12"/>
        </w:rPr>
      </w:pPr>
    </w:p>
    <w:p w:rsidR="003816DC" w:rsidRPr="00A52EF3" w:rsidRDefault="003816DC" w:rsidP="00F25FCA">
      <w:pPr>
        <w:spacing w:after="0"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Jednostką odpowiedzialną za opracowanie i realizację Planu Gospodarki Niskoemisyjnej dla Gminy Brody są władze Gminy. Opracowanie i wdrażanie Planu Gospodarki Niskoemisyjnej wiąże się z zapewnieniem odpowiednich zasobów kadrowych </w:t>
      </w:r>
      <w:r w:rsidRPr="00A52EF3">
        <w:rPr>
          <w:rFonts w:ascii="Times New Roman" w:hAnsi="Times New Roman" w:cs="Times New Roman"/>
          <w:sz w:val="24"/>
          <w:szCs w:val="24"/>
        </w:rPr>
        <w:br/>
        <w:t xml:space="preserve">i finansowych. Przygotowywanie i wdrażanie PGN to proces wymagający systematycznego planowania i zarządzania. Wójt Gminy Brody powierzy czynności związane z wdrażaniem Planu i prowadzeniem monitoringu pracownikom </w:t>
      </w:r>
      <w:r w:rsidR="009E02B9" w:rsidRPr="00A52EF3">
        <w:rPr>
          <w:rFonts w:ascii="Times New Roman" w:hAnsi="Times New Roman" w:cs="Times New Roman"/>
          <w:sz w:val="24"/>
          <w:szCs w:val="24"/>
        </w:rPr>
        <w:t>Zespołu Ochrony Środowiska i Gospodarki Odpadami</w:t>
      </w:r>
      <w:r w:rsidR="00BD6023" w:rsidRPr="00A52EF3">
        <w:rPr>
          <w:rFonts w:ascii="Times New Roman" w:hAnsi="Times New Roman" w:cs="Times New Roman"/>
          <w:sz w:val="24"/>
          <w:szCs w:val="24"/>
        </w:rPr>
        <w:t xml:space="preserve"> odpowiednim dokumentem w terminie do 2 miesięcy od dnia uchwalenia przez Gminę Programu Gospodarki Niskoemisyjnej.</w:t>
      </w:r>
      <w:r w:rsidR="009E02B9" w:rsidRPr="00A52EF3">
        <w:rPr>
          <w:rFonts w:ascii="Times New Roman" w:hAnsi="Times New Roman" w:cs="Times New Roman"/>
          <w:sz w:val="24"/>
          <w:szCs w:val="24"/>
        </w:rPr>
        <w:t xml:space="preserve"> </w:t>
      </w:r>
      <w:r w:rsidRPr="00A52EF3">
        <w:rPr>
          <w:rFonts w:ascii="Times New Roman" w:hAnsi="Times New Roman" w:cs="Times New Roman"/>
          <w:sz w:val="24"/>
        </w:rPr>
        <w:t xml:space="preserve">Kompleksowe wykonanie PGN wiąże się również z współpracą różnych działów oraz osób w ramach struktur Urzędu Gminy. </w:t>
      </w:r>
      <w:r w:rsidRPr="00A52EF3">
        <w:rPr>
          <w:rFonts w:ascii="Times New Roman" w:hAnsi="Times New Roman" w:cs="Times New Roman"/>
          <w:sz w:val="24"/>
          <w:szCs w:val="24"/>
        </w:rPr>
        <w:t>Urzędnicy obok danych dotyczących końcowego zużycia energii, będą również zbierali i analizowali informacje o kosztach i terminach realizacji działań. Do ich zadań należeć będzie również udzielanie wsparcia na etapie wdrażania PGN,</w:t>
      </w:r>
      <w:r w:rsidRPr="00A52EF3">
        <w:rPr>
          <w:rFonts w:ascii="Times New Roman" w:hAnsi="Times New Roman" w:cs="Times New Roman"/>
          <w:sz w:val="24"/>
        </w:rPr>
        <w:t xml:space="preserve"> monitorowanie dostępności zewnętrznych środków finansowych umożliwiających realizację zadań, dbanie, aby cele i kierunki działań wyznaczone w Planie Gospodarki Niskoemisyjnej były przyjmowane w zapisach prawa lokalnego oraz uwzględniane w dokumentach strategicznych i planistycznych Gminy </w:t>
      </w:r>
      <w:r w:rsidR="009E02B9" w:rsidRPr="00A52EF3">
        <w:rPr>
          <w:rFonts w:ascii="Times New Roman" w:hAnsi="Times New Roman" w:cs="Times New Roman"/>
          <w:sz w:val="24"/>
        </w:rPr>
        <w:t>Brody</w:t>
      </w:r>
      <w:r w:rsidRPr="00A52EF3">
        <w:rPr>
          <w:rFonts w:ascii="Times New Roman" w:hAnsi="Times New Roman" w:cs="Times New Roman"/>
          <w:sz w:val="24"/>
        </w:rPr>
        <w:t xml:space="preserve">. </w:t>
      </w:r>
    </w:p>
    <w:p w:rsidR="00086D7D" w:rsidRPr="00A52EF3" w:rsidRDefault="003816DC" w:rsidP="00DE1918">
      <w:pPr>
        <w:spacing w:after="0" w:line="360" w:lineRule="auto"/>
        <w:ind w:firstLine="720"/>
        <w:jc w:val="both"/>
        <w:rPr>
          <w:rFonts w:ascii="Times New Roman" w:hAnsi="Times New Roman" w:cs="Times New Roman"/>
          <w:sz w:val="24"/>
        </w:rPr>
      </w:pPr>
      <w:r w:rsidRPr="00A52EF3">
        <w:rPr>
          <w:rFonts w:ascii="Times New Roman" w:hAnsi="Times New Roman" w:cs="Times New Roman"/>
          <w:sz w:val="24"/>
          <w:szCs w:val="24"/>
        </w:rPr>
        <w:t xml:space="preserve">Monitoring i raportowanie jest jedną z bardzo istotnych części wdrażania PGN. Jego celem </w:t>
      </w:r>
      <w:r w:rsidRPr="00A52EF3">
        <w:rPr>
          <w:rFonts w:ascii="Times New Roman" w:hAnsi="Times New Roman" w:cs="Times New Roman"/>
          <w:sz w:val="24"/>
        </w:rPr>
        <w:t xml:space="preserve">jest ocena stanu środowiska - czy stan środowiska ulega polepszeniu czy pogorszeniu - poprzez zbieranie, analizowanie i udostępnianie danych dotyczących jakości środowiska </w:t>
      </w:r>
      <w:r w:rsidRPr="00A52EF3">
        <w:rPr>
          <w:rFonts w:ascii="Times New Roman" w:hAnsi="Times New Roman" w:cs="Times New Roman"/>
          <w:sz w:val="24"/>
        </w:rPr>
        <w:br/>
        <w:t>i zachodzących w nim zmian. Należy dążyć do obniżenia do 2020 roku wartości emisji oraz zużycia paliw przy jednoczesnym wzroście wykorzystania odnawialnych źródeł energii.</w:t>
      </w:r>
    </w:p>
    <w:p w:rsidR="003816DC" w:rsidRPr="00A52EF3" w:rsidRDefault="003816DC" w:rsidP="00F25FCA">
      <w:pPr>
        <w:spacing w:after="0" w:line="360" w:lineRule="auto"/>
        <w:ind w:firstLine="720"/>
        <w:jc w:val="both"/>
        <w:rPr>
          <w:rFonts w:ascii="Times New Roman" w:hAnsi="Times New Roman" w:cs="Times New Roman"/>
          <w:sz w:val="24"/>
          <w:szCs w:val="24"/>
        </w:rPr>
      </w:pPr>
      <w:r w:rsidRPr="00A52EF3">
        <w:rPr>
          <w:rFonts w:ascii="Times New Roman" w:hAnsi="Times New Roman" w:cs="Times New Roman"/>
          <w:sz w:val="24"/>
        </w:rPr>
        <w:t xml:space="preserve"> Monitoring jest również podstawą oceny efektywności wdrażania polityki środowiskowej. </w:t>
      </w:r>
      <w:r w:rsidRPr="00A52EF3">
        <w:rPr>
          <w:rFonts w:ascii="Times New Roman" w:hAnsi="Times New Roman" w:cs="Times New Roman"/>
          <w:sz w:val="24"/>
          <w:szCs w:val="24"/>
        </w:rPr>
        <w:t>Poradnik jak opracować plan działań na rzecz zrównoważonej energii (SEAP) zaleca, aby Raport z wdrażania PGN składać co dwa lata od dnia jego złożenia.  Raport ten powinien zawierać:</w:t>
      </w:r>
    </w:p>
    <w:p w:rsidR="003816DC" w:rsidRPr="00A52EF3" w:rsidRDefault="003816DC" w:rsidP="00F25FCA">
      <w:pPr>
        <w:pStyle w:val="Akapitzlist"/>
        <w:numPr>
          <w:ilvl w:val="0"/>
          <w:numId w:val="7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wyniki aktualnej inwentaryzacji emisji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w:t>
      </w:r>
    </w:p>
    <w:p w:rsidR="003816DC" w:rsidRPr="00A52EF3" w:rsidRDefault="003816DC" w:rsidP="00F25FCA">
      <w:pPr>
        <w:pStyle w:val="Akapitzlist"/>
        <w:numPr>
          <w:ilvl w:val="0"/>
          <w:numId w:val="7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dane dotyczące zużycia energii w gminie,</w:t>
      </w:r>
    </w:p>
    <w:p w:rsidR="003816DC" w:rsidRPr="00A52EF3" w:rsidRDefault="003816DC" w:rsidP="00F25FCA">
      <w:pPr>
        <w:pStyle w:val="Akapitzlist"/>
        <w:numPr>
          <w:ilvl w:val="0"/>
          <w:numId w:val="7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dane niezbędne do oceny realizacji Planu,</w:t>
      </w:r>
    </w:p>
    <w:p w:rsidR="003816DC" w:rsidRPr="00A52EF3" w:rsidRDefault="003816DC" w:rsidP="00F25FCA">
      <w:pPr>
        <w:pStyle w:val="Akapitzlist"/>
        <w:numPr>
          <w:ilvl w:val="0"/>
          <w:numId w:val="77"/>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postępy realizacji Planu i prowadzonych działań.</w:t>
      </w:r>
    </w:p>
    <w:p w:rsidR="00DA6868" w:rsidRPr="00A52EF3" w:rsidRDefault="003816DC" w:rsidP="00681313">
      <w:pPr>
        <w:spacing w:line="360" w:lineRule="auto"/>
        <w:ind w:firstLine="708"/>
        <w:jc w:val="both"/>
        <w:rPr>
          <w:rFonts w:ascii="Times New Roman" w:hAnsi="Times New Roman" w:cs="Times New Roman"/>
          <w:sz w:val="24"/>
        </w:rPr>
      </w:pPr>
      <w:r w:rsidRPr="00A52EF3">
        <w:rPr>
          <w:rFonts w:ascii="Times New Roman" w:hAnsi="Times New Roman" w:cs="Times New Roman"/>
          <w:sz w:val="24"/>
          <w:szCs w:val="24"/>
        </w:rPr>
        <w:lastRenderedPageBreak/>
        <w:t>Inwentaryzacja zalecana jest co roku. W ten sposób w jednym raporcie zostaną przedstawione zrealizowane działania oraz efekty ich realizacji. Finalne podsumowanie postępów nastąpi po roku 202</w:t>
      </w:r>
      <w:r w:rsidR="0063076C" w:rsidRPr="00A52EF3">
        <w:rPr>
          <w:rFonts w:ascii="Times New Roman" w:hAnsi="Times New Roman" w:cs="Times New Roman"/>
          <w:sz w:val="24"/>
          <w:szCs w:val="24"/>
        </w:rPr>
        <w:t>1</w:t>
      </w:r>
      <w:r w:rsidRPr="00A52EF3">
        <w:rPr>
          <w:rFonts w:ascii="Times New Roman" w:hAnsi="Times New Roman" w:cs="Times New Roman"/>
          <w:sz w:val="24"/>
          <w:szCs w:val="24"/>
        </w:rPr>
        <w:t>, umożliwiając ocenę skuteczności PGN. W tab. „Krótko/średnioterminowe działania/zadania na lata 2016 – 202</w:t>
      </w:r>
      <w:r w:rsidR="000E3002" w:rsidRPr="00A52EF3">
        <w:rPr>
          <w:rFonts w:ascii="Times New Roman" w:hAnsi="Times New Roman" w:cs="Times New Roman"/>
          <w:sz w:val="24"/>
          <w:szCs w:val="24"/>
        </w:rPr>
        <w:t>0</w:t>
      </w:r>
      <w:r w:rsidRPr="00A52EF3">
        <w:rPr>
          <w:rFonts w:ascii="Times New Roman" w:hAnsi="Times New Roman" w:cs="Times New Roman"/>
          <w:sz w:val="24"/>
          <w:szCs w:val="24"/>
        </w:rPr>
        <w:t xml:space="preserve"> w gminie </w:t>
      </w:r>
      <w:r w:rsidR="0063076C" w:rsidRPr="00A52EF3">
        <w:rPr>
          <w:rFonts w:ascii="Times New Roman" w:hAnsi="Times New Roman" w:cs="Times New Roman"/>
          <w:sz w:val="24"/>
          <w:szCs w:val="24"/>
        </w:rPr>
        <w:t>Brody</w:t>
      </w:r>
      <w:r w:rsidRPr="00A52EF3">
        <w:rPr>
          <w:rFonts w:ascii="Times New Roman" w:hAnsi="Times New Roman" w:cs="Times New Roman"/>
          <w:sz w:val="24"/>
          <w:szCs w:val="24"/>
        </w:rPr>
        <w:t xml:space="preserve">” uwzględniono utworzenie systemu organizacyjnego dla realizacji działań naprawczych zapisanych w PGN, którego celem będzie m.in. monitorowanie efektów działań naprawczych. Wszelkie zmiany oraz aktualizacje w Planie Gospodarki Niskoemisyjnej dla Gminy </w:t>
      </w:r>
      <w:r w:rsidR="0063076C" w:rsidRPr="00A52EF3">
        <w:rPr>
          <w:rFonts w:ascii="Times New Roman" w:hAnsi="Times New Roman" w:cs="Times New Roman"/>
          <w:sz w:val="24"/>
          <w:szCs w:val="24"/>
        </w:rPr>
        <w:t>Brody</w:t>
      </w:r>
      <w:r w:rsidRPr="00A52EF3">
        <w:rPr>
          <w:rFonts w:ascii="Times New Roman" w:hAnsi="Times New Roman" w:cs="Times New Roman"/>
          <w:sz w:val="24"/>
          <w:szCs w:val="24"/>
        </w:rPr>
        <w:t xml:space="preserve"> wprowadzane będą w trybie uchwały Rady Gminy.</w:t>
      </w:r>
      <w:r w:rsidRPr="00A52EF3">
        <w:rPr>
          <w:rFonts w:ascii="Times New Roman" w:hAnsi="Times New Roman" w:cs="Times New Roman"/>
          <w:sz w:val="24"/>
        </w:rPr>
        <w:t xml:space="preserve"> </w:t>
      </w:r>
    </w:p>
    <w:p w:rsidR="003816DC" w:rsidRPr="00A52EF3" w:rsidRDefault="003816DC" w:rsidP="00F25FCA">
      <w:pPr>
        <w:pStyle w:val="Stopka"/>
        <w:tabs>
          <w:tab w:val="left" w:pos="708"/>
        </w:tabs>
        <w:spacing w:line="360" w:lineRule="auto"/>
        <w:jc w:val="both"/>
        <w:rPr>
          <w:rFonts w:ascii="Times New Roman" w:hAnsi="Times New Roman" w:cs="Times New Roman"/>
          <w:bCs/>
          <w:sz w:val="24"/>
          <w:szCs w:val="24"/>
        </w:rPr>
      </w:pPr>
      <w:r w:rsidRPr="00A52EF3">
        <w:rPr>
          <w:rFonts w:ascii="Times New Roman" w:hAnsi="Times New Roman" w:cs="Times New Roman"/>
          <w:sz w:val="24"/>
          <w:szCs w:val="24"/>
        </w:rPr>
        <w:tab/>
        <w:t>Prowadzenie monitoringu oraz wdrażanie PGN wiąże się z dużym wysiłkiem oraz wysokim stopniem zaangażowania środków ludzkich i finansowych</w:t>
      </w:r>
      <w:r w:rsidRPr="00A52EF3">
        <w:rPr>
          <w:rFonts w:ascii="Times New Roman" w:eastAsia="Times New Roman" w:hAnsi="Times New Roman" w:cs="Times New Roman"/>
          <w:sz w:val="24"/>
          <w:szCs w:val="24"/>
        </w:rPr>
        <w:t>. Niezbędna jest w tym zakresie współpraca z następującymi podmiotami funkcjonującymi na terenie miasta i gminy:</w:t>
      </w:r>
    </w:p>
    <w:p w:rsidR="003816DC" w:rsidRPr="00A52EF3" w:rsidRDefault="003816DC" w:rsidP="00F25FCA">
      <w:pPr>
        <w:numPr>
          <w:ilvl w:val="0"/>
          <w:numId w:val="75"/>
        </w:numPr>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przedsiębiorstwa energetyczne,</w:t>
      </w:r>
    </w:p>
    <w:p w:rsidR="003816DC" w:rsidRPr="00A52EF3" w:rsidRDefault="003816DC" w:rsidP="00F25FCA">
      <w:pPr>
        <w:numPr>
          <w:ilvl w:val="0"/>
          <w:numId w:val="75"/>
        </w:numPr>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firmy i instytucje,</w:t>
      </w:r>
    </w:p>
    <w:p w:rsidR="003816DC" w:rsidRPr="00A52EF3" w:rsidRDefault="003816DC" w:rsidP="00F25FCA">
      <w:pPr>
        <w:numPr>
          <w:ilvl w:val="0"/>
          <w:numId w:val="75"/>
        </w:numPr>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przedsiębiorstwa produkcyjne,</w:t>
      </w:r>
    </w:p>
    <w:p w:rsidR="003816DC" w:rsidRPr="00A52EF3" w:rsidRDefault="003816DC" w:rsidP="00F25FCA">
      <w:pPr>
        <w:numPr>
          <w:ilvl w:val="0"/>
          <w:numId w:val="75"/>
        </w:numPr>
        <w:spacing w:after="0" w:line="360" w:lineRule="auto"/>
        <w:jc w:val="both"/>
        <w:rPr>
          <w:rFonts w:ascii="Times New Roman" w:eastAsia="Times New Roman" w:hAnsi="Times New Roman" w:cs="Times New Roman"/>
          <w:sz w:val="24"/>
          <w:szCs w:val="24"/>
        </w:rPr>
      </w:pPr>
      <w:r w:rsidRPr="00A52EF3">
        <w:rPr>
          <w:rFonts w:ascii="Times New Roman" w:eastAsia="Times New Roman" w:hAnsi="Times New Roman" w:cs="Times New Roman"/>
          <w:sz w:val="24"/>
          <w:szCs w:val="24"/>
        </w:rPr>
        <w:t>mieszkańcy Gminy.</w:t>
      </w:r>
    </w:p>
    <w:p w:rsidR="003816DC" w:rsidRPr="00A52EF3" w:rsidRDefault="003816DC" w:rsidP="00F25FCA">
      <w:pPr>
        <w:spacing w:after="0" w:line="360" w:lineRule="auto"/>
        <w:ind w:left="720"/>
        <w:jc w:val="both"/>
        <w:rPr>
          <w:rFonts w:ascii="Times New Roman" w:eastAsia="Times New Roman" w:hAnsi="Times New Roman" w:cs="Times New Roman"/>
          <w:sz w:val="24"/>
          <w:szCs w:val="24"/>
        </w:rPr>
      </w:pPr>
    </w:p>
    <w:p w:rsidR="003816DC" w:rsidRPr="00A52EF3" w:rsidRDefault="003816DC"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 xml:space="preserve">Zaangażowanie interesariuszy jest kluczowe nie tylko na etapie opracowywania PGN, ale również na etapie jego realizacji. Istotne jest aby wszystkie zainteresowane grupy społeczne były zachęcane do wykonywania działań przyjętych w PGN oraz informowane </w:t>
      </w:r>
      <w:r w:rsidRPr="00A52EF3">
        <w:rPr>
          <w:rFonts w:ascii="Times New Roman" w:hAnsi="Times New Roman" w:cs="Times New Roman"/>
          <w:sz w:val="24"/>
        </w:rPr>
        <w:br/>
        <w:t xml:space="preserve">o problematyce gospodarki niskoemisyjnej. Proponuje się publikację artykułów </w:t>
      </w:r>
      <w:r w:rsidRPr="00A52EF3">
        <w:rPr>
          <w:rFonts w:ascii="Times New Roman" w:hAnsi="Times New Roman" w:cs="Times New Roman"/>
          <w:sz w:val="24"/>
        </w:rPr>
        <w:br/>
        <w:t>o odnawialnych źródłach energii, technologiach poprawy efektywności energetycznej, niskoemisyjnej gospodarce i jej zaletach, unijnych i krajowych środkach finansowania działań przez nich podjętych.</w:t>
      </w:r>
    </w:p>
    <w:p w:rsidR="003816DC" w:rsidRPr="00A52EF3" w:rsidRDefault="003816DC" w:rsidP="00F25FCA">
      <w:pPr>
        <w:spacing w:line="360" w:lineRule="auto"/>
        <w:ind w:firstLine="708"/>
        <w:jc w:val="both"/>
        <w:rPr>
          <w:rFonts w:ascii="Times New Roman" w:hAnsi="Times New Roman" w:cs="Times New Roman"/>
          <w:sz w:val="24"/>
        </w:rPr>
      </w:pPr>
      <w:r w:rsidRPr="00A52EF3">
        <w:rPr>
          <w:rFonts w:ascii="Times New Roman" w:hAnsi="Times New Roman" w:cs="Times New Roman"/>
          <w:sz w:val="24"/>
        </w:rPr>
        <w:t>Działania zawarte w Planie Gospodarki Niskoemisyjnej finansowane będą ze środków zewnętrznych jak i gminy. Finansowanie we własnym zakresie musi zostać wpisanie do wieloletnich planów inwestycyjnych. Finansowanie proponowanych działań musi zostać dodatkowo uwzględnione w budżecie gminy na każdy rok. Wszystkie jednostki odpowiedzialne za realizację działań ujętych w PGN powinny zabezpieczyć odpowiednie środki w procesie planowania budżetu.</w:t>
      </w:r>
    </w:p>
    <w:p w:rsidR="003816DC" w:rsidRPr="00A52EF3" w:rsidRDefault="003816DC" w:rsidP="00681313">
      <w:pPr>
        <w:pStyle w:val="Nagwek1"/>
        <w:numPr>
          <w:ilvl w:val="0"/>
          <w:numId w:val="89"/>
        </w:numPr>
        <w:rPr>
          <w:rFonts w:ascii="Times New Roman" w:hAnsi="Times New Roman" w:cs="Times New Roman"/>
          <w:color w:val="auto"/>
        </w:rPr>
      </w:pPr>
      <w:bookmarkStart w:id="114" w:name="_Toc470764043"/>
      <w:r w:rsidRPr="00A52EF3">
        <w:rPr>
          <w:rFonts w:ascii="Times New Roman" w:hAnsi="Times New Roman" w:cs="Times New Roman"/>
          <w:color w:val="auto"/>
        </w:rPr>
        <w:lastRenderedPageBreak/>
        <w:t xml:space="preserve">Schemat monitorowania Planu Gospodarki Niskoemisyjnej Gminy </w:t>
      </w:r>
      <w:r w:rsidR="00E36B13" w:rsidRPr="00A52EF3">
        <w:rPr>
          <w:rFonts w:ascii="Times New Roman" w:hAnsi="Times New Roman" w:cs="Times New Roman"/>
          <w:color w:val="auto"/>
        </w:rPr>
        <w:t>Brody</w:t>
      </w:r>
      <w:bookmarkEnd w:id="114"/>
    </w:p>
    <w:p w:rsidR="003816DC" w:rsidRPr="00A52EF3" w:rsidRDefault="003816DC" w:rsidP="00F25FCA">
      <w:pPr>
        <w:spacing w:line="360" w:lineRule="auto"/>
        <w:jc w:val="center"/>
        <w:rPr>
          <w:rFonts w:ascii="Times New Roman" w:hAnsi="Times New Roman" w:cs="Times New Roman"/>
          <w:b/>
          <w:i/>
          <w:sz w:val="28"/>
        </w:rPr>
      </w:pPr>
    </w:p>
    <w:p w:rsidR="00DB16AC" w:rsidRPr="00A52EF3" w:rsidRDefault="003816DC" w:rsidP="00DB16AC">
      <w:pPr>
        <w:spacing w:line="360" w:lineRule="auto"/>
        <w:jc w:val="center"/>
        <w:rPr>
          <w:rFonts w:ascii="Times New Roman" w:hAnsi="Times New Roman" w:cs="Times New Roman"/>
          <w:b/>
          <w:i/>
          <w:sz w:val="28"/>
        </w:rPr>
      </w:pPr>
      <w:r w:rsidRPr="00A52EF3">
        <w:rPr>
          <w:rFonts w:ascii="Times New Roman" w:hAnsi="Times New Roman" w:cs="Times New Roman"/>
          <w:b/>
          <w:i/>
          <w:noProof/>
          <w:sz w:val="28"/>
          <w:lang w:eastAsia="pl-PL"/>
        </w:rPr>
        <w:drawing>
          <wp:inline distT="0" distB="0" distL="0" distR="0" wp14:anchorId="7B4E481E" wp14:editId="0531A0BC">
            <wp:extent cx="5760720" cy="6281420"/>
            <wp:effectExtent l="76200" t="38100" r="68580" b="10033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C1C63" w:rsidRPr="00A52EF3" w:rsidRDefault="00052A9B" w:rsidP="00681313">
      <w:pPr>
        <w:pStyle w:val="Nagwek1"/>
        <w:numPr>
          <w:ilvl w:val="0"/>
          <w:numId w:val="89"/>
        </w:numPr>
        <w:rPr>
          <w:rFonts w:ascii="Times New Roman" w:hAnsi="Times New Roman" w:cs="Times New Roman"/>
          <w:color w:val="auto"/>
        </w:rPr>
      </w:pPr>
      <w:bookmarkStart w:id="115" w:name="_Toc470764044"/>
      <w:r w:rsidRPr="00A52EF3">
        <w:rPr>
          <w:rFonts w:ascii="Times New Roman" w:hAnsi="Times New Roman" w:cs="Times New Roman"/>
          <w:color w:val="auto"/>
        </w:rPr>
        <w:t>Planowane działania monitorujące dla osób zaangażowanych w powstanie P</w:t>
      </w:r>
      <w:r w:rsidR="00EC1C63" w:rsidRPr="00A52EF3">
        <w:rPr>
          <w:rFonts w:ascii="Times New Roman" w:hAnsi="Times New Roman" w:cs="Times New Roman"/>
          <w:color w:val="auto"/>
        </w:rPr>
        <w:t>lanu Gospodarki Niskoemisyjnej</w:t>
      </w:r>
      <w:bookmarkEnd w:id="115"/>
    </w:p>
    <w:p w:rsidR="00EC1C63" w:rsidRPr="00A52EF3" w:rsidRDefault="00EC1C63" w:rsidP="00EC1C63">
      <w:pPr>
        <w:rPr>
          <w:rFonts w:ascii="Times New Roman" w:hAnsi="Times New Roman" w:cs="Times New Roman"/>
        </w:rPr>
      </w:pPr>
    </w:p>
    <w:p w:rsidR="00DE0553" w:rsidRPr="00A52EF3" w:rsidRDefault="00052A9B" w:rsidP="00EC1C63">
      <w:pPr>
        <w:spacing w:line="360" w:lineRule="auto"/>
        <w:jc w:val="both"/>
        <w:rPr>
          <w:rFonts w:ascii="Times New Roman" w:hAnsi="Times New Roman" w:cs="Times New Roman"/>
          <w:sz w:val="24"/>
        </w:rPr>
      </w:pPr>
      <w:r w:rsidRPr="00A52EF3">
        <w:rPr>
          <w:rFonts w:ascii="Times New Roman" w:hAnsi="Times New Roman" w:cs="Times New Roman"/>
        </w:rPr>
        <w:lastRenderedPageBreak/>
        <w:tab/>
      </w:r>
      <w:r w:rsidR="00526F44" w:rsidRPr="00A52EF3">
        <w:rPr>
          <w:rFonts w:ascii="Times New Roman" w:hAnsi="Times New Roman" w:cs="Times New Roman"/>
          <w:sz w:val="24"/>
        </w:rPr>
        <w:t xml:space="preserve">Działania te mają na celu kontrolę postępu prac związanych z Planem Gospodarki Niskoemisyjnej. Zaplanowane i rozdzielone w tym punkcie zadania dla poszczególnych organów staną się narzędziem do wdrażania założeń PGN-u. Wynikiem tego działania będzie okresowe, półroczne sprawozdanie z postępu prac, a także raport dwuletni, który powstanie w dwa lata po uchwaleniu PGN-u i raport </w:t>
      </w:r>
      <w:r w:rsidR="00A849E7" w:rsidRPr="00A52EF3">
        <w:rPr>
          <w:rFonts w:ascii="Times New Roman" w:hAnsi="Times New Roman" w:cs="Times New Roman"/>
          <w:sz w:val="24"/>
        </w:rPr>
        <w:t>podsumowujący cały okres funkcjonowania PGN-u.</w:t>
      </w:r>
      <w:r w:rsidR="00CA6048" w:rsidRPr="00A52EF3">
        <w:rPr>
          <w:rFonts w:ascii="Times New Roman" w:hAnsi="Times New Roman" w:cs="Times New Roman"/>
          <w:sz w:val="24"/>
        </w:rPr>
        <w:t xml:space="preserve"> Sprawozdanie półroczne sporządza wójt gminy Brody we współpracy z „Energetykiem Gminnym” i w konsultacji z jednostką planowania przestrzennego i decyzji środowiskowych.</w:t>
      </w:r>
      <w:r w:rsidR="00C33738" w:rsidRPr="00A52EF3">
        <w:rPr>
          <w:rFonts w:ascii="Times New Roman" w:hAnsi="Times New Roman" w:cs="Times New Roman"/>
          <w:sz w:val="24"/>
        </w:rPr>
        <w:t xml:space="preserve"> Możliwie jest również powołanie zespołu ds. kontroli postępu wdrażania Programu Gospodarki Niskoemisyjnej złożonego z radnych gminy.</w:t>
      </w:r>
    </w:p>
    <w:p w:rsidR="00DE0553" w:rsidRPr="00A52EF3" w:rsidRDefault="00EC1C63" w:rsidP="00EC1C63">
      <w:pPr>
        <w:pStyle w:val="Akapitzlist"/>
        <w:numPr>
          <w:ilvl w:val="0"/>
          <w:numId w:val="85"/>
        </w:numPr>
        <w:spacing w:line="360" w:lineRule="auto"/>
        <w:jc w:val="both"/>
        <w:rPr>
          <w:rFonts w:ascii="Times New Roman" w:hAnsi="Times New Roman" w:cs="Times New Roman"/>
          <w:sz w:val="24"/>
        </w:rPr>
      </w:pPr>
      <w:r w:rsidRPr="00A52EF3">
        <w:rPr>
          <w:rFonts w:ascii="Times New Roman" w:hAnsi="Times New Roman" w:cs="Times New Roman"/>
          <w:sz w:val="24"/>
        </w:rPr>
        <w:t>Sprawozdanie Wójta Gminy</w:t>
      </w:r>
    </w:p>
    <w:p w:rsidR="00DE0553" w:rsidRPr="00A52EF3" w:rsidRDefault="00F3534F"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 okres 1.01-30.06 i 1.07-31.12 każdego roku trwania programu</w:t>
      </w:r>
    </w:p>
    <w:p w:rsidR="00F3534F" w:rsidRPr="00A52EF3" w:rsidRDefault="00F3534F"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ilość zużytej energii w danym okresie</w:t>
      </w:r>
    </w:p>
    <w:p w:rsidR="00CB3F99" w:rsidRPr="00A52EF3" w:rsidRDefault="00CB3F99"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przewidywaną redukcje emisji</w:t>
      </w:r>
      <w:r w:rsidR="00D0027B" w:rsidRPr="00A52EF3">
        <w:rPr>
          <w:rFonts w:ascii="Times New Roman" w:hAnsi="Times New Roman" w:cs="Times New Roman"/>
          <w:sz w:val="24"/>
        </w:rPr>
        <w:t xml:space="preserve"> CO</w:t>
      </w:r>
      <w:r w:rsidR="00D0027B" w:rsidRPr="00A52EF3">
        <w:rPr>
          <w:rFonts w:ascii="Times New Roman" w:hAnsi="Times New Roman" w:cs="Times New Roman"/>
          <w:sz w:val="24"/>
          <w:vertAlign w:val="subscript"/>
        </w:rPr>
        <w:t>2</w:t>
      </w:r>
      <w:r w:rsidR="00D0027B" w:rsidRPr="00A52EF3">
        <w:rPr>
          <w:rFonts w:ascii="Times New Roman" w:hAnsi="Times New Roman" w:cs="Times New Roman"/>
          <w:sz w:val="24"/>
        </w:rPr>
        <w:t>, związków siarki i związków azotu</w:t>
      </w:r>
      <w:r w:rsidR="00927483" w:rsidRPr="00A52EF3">
        <w:rPr>
          <w:rFonts w:ascii="Times New Roman" w:hAnsi="Times New Roman" w:cs="Times New Roman"/>
          <w:sz w:val="24"/>
        </w:rPr>
        <w:t>, a także pyłów PM</w:t>
      </w:r>
      <w:r w:rsidR="00927483" w:rsidRPr="00A52EF3">
        <w:rPr>
          <w:rFonts w:ascii="Times New Roman" w:hAnsi="Times New Roman" w:cs="Times New Roman"/>
          <w:sz w:val="24"/>
          <w:vertAlign w:val="subscript"/>
        </w:rPr>
        <w:t xml:space="preserve">10 </w:t>
      </w:r>
      <w:r w:rsidR="00927483" w:rsidRPr="00A52EF3">
        <w:rPr>
          <w:rFonts w:ascii="Times New Roman" w:hAnsi="Times New Roman" w:cs="Times New Roman"/>
          <w:sz w:val="24"/>
        </w:rPr>
        <w:t>i PM</w:t>
      </w:r>
      <w:r w:rsidR="00927483" w:rsidRPr="00A52EF3">
        <w:rPr>
          <w:rFonts w:ascii="Times New Roman" w:hAnsi="Times New Roman" w:cs="Times New Roman"/>
          <w:sz w:val="24"/>
          <w:vertAlign w:val="subscript"/>
        </w:rPr>
        <w:t>2,5</w:t>
      </w:r>
    </w:p>
    <w:p w:rsidR="00F3534F" w:rsidRPr="00A52EF3" w:rsidRDefault="00F3534F"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ilość projektów rozpoczętych w tym okresie i liczbę projektów zrealizowanych oraz ich podsumowanie</w:t>
      </w:r>
    </w:p>
    <w:p w:rsidR="00F3534F" w:rsidRPr="00A52EF3" w:rsidRDefault="003662A3"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opis przedsięwzięć, których realizacja jest w toku, a także opis zadań i celów na następny okres.</w:t>
      </w:r>
    </w:p>
    <w:p w:rsidR="00EC31C7" w:rsidRPr="00A52EF3" w:rsidRDefault="00EC31C7" w:rsidP="00EC1C63">
      <w:pPr>
        <w:pStyle w:val="Akapitzlist"/>
        <w:spacing w:line="360" w:lineRule="auto"/>
        <w:ind w:left="1440"/>
        <w:jc w:val="both"/>
        <w:rPr>
          <w:rFonts w:ascii="Times New Roman" w:hAnsi="Times New Roman" w:cs="Times New Roman"/>
          <w:sz w:val="24"/>
        </w:rPr>
      </w:pPr>
    </w:p>
    <w:p w:rsidR="00C449A4" w:rsidRPr="00A52EF3" w:rsidRDefault="00EC1C63" w:rsidP="00EC1C63">
      <w:pPr>
        <w:pStyle w:val="Akapitzlist"/>
        <w:numPr>
          <w:ilvl w:val="0"/>
          <w:numId w:val="85"/>
        </w:numPr>
        <w:spacing w:line="360" w:lineRule="auto"/>
        <w:jc w:val="both"/>
        <w:rPr>
          <w:rFonts w:ascii="Times New Roman" w:hAnsi="Times New Roman" w:cs="Times New Roman"/>
          <w:sz w:val="24"/>
        </w:rPr>
      </w:pPr>
      <w:r w:rsidRPr="00A52EF3">
        <w:rPr>
          <w:rFonts w:ascii="Times New Roman" w:hAnsi="Times New Roman" w:cs="Times New Roman"/>
          <w:sz w:val="24"/>
        </w:rPr>
        <w:t>Raport osoby odpowiedzialnej</w:t>
      </w:r>
    </w:p>
    <w:p w:rsidR="00C449A4"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Sporządzony za okres dwóch lat od dnia uchwalenia PGN-u</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ilość zużytej energii w danym okresie</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przewidywaną redukcje emisji CO</w:t>
      </w:r>
      <w:r w:rsidRPr="00A52EF3">
        <w:rPr>
          <w:rFonts w:ascii="Times New Roman" w:hAnsi="Times New Roman" w:cs="Times New Roman"/>
          <w:sz w:val="24"/>
          <w:vertAlign w:val="subscript"/>
        </w:rPr>
        <w:t>2</w:t>
      </w:r>
      <w:r w:rsidRPr="00A52EF3">
        <w:rPr>
          <w:rFonts w:ascii="Times New Roman" w:hAnsi="Times New Roman" w:cs="Times New Roman"/>
          <w:sz w:val="24"/>
        </w:rPr>
        <w:t>, związków siarki i związków azotu, a także pyłów PM</w:t>
      </w:r>
      <w:r w:rsidRPr="00A52EF3">
        <w:rPr>
          <w:rFonts w:ascii="Times New Roman" w:hAnsi="Times New Roman" w:cs="Times New Roman"/>
          <w:sz w:val="24"/>
          <w:vertAlign w:val="subscript"/>
        </w:rPr>
        <w:t xml:space="preserve">10 </w:t>
      </w:r>
      <w:r w:rsidRPr="00A52EF3">
        <w:rPr>
          <w:rFonts w:ascii="Times New Roman" w:hAnsi="Times New Roman" w:cs="Times New Roman"/>
          <w:sz w:val="24"/>
        </w:rPr>
        <w:t>i PM</w:t>
      </w:r>
      <w:r w:rsidRPr="00A52EF3">
        <w:rPr>
          <w:rFonts w:ascii="Times New Roman" w:hAnsi="Times New Roman" w:cs="Times New Roman"/>
          <w:sz w:val="24"/>
          <w:vertAlign w:val="subscript"/>
        </w:rPr>
        <w:t>2,5</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ilość projektów rozpoczętych w tym okresie i liczbę projektów zrealizowanych oraz ich podsumowanie</w:t>
      </w:r>
    </w:p>
    <w:p w:rsidR="00EC31C7" w:rsidRPr="00A52EF3" w:rsidRDefault="00EC31C7" w:rsidP="00DB16AC">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opis przedsięwzięć, których realizacja jest w toku, a także opis zadań i celów na następny okres.</w:t>
      </w:r>
    </w:p>
    <w:p w:rsidR="00EC31C7" w:rsidRPr="00A52EF3" w:rsidRDefault="00EC1C63" w:rsidP="00EC1C63">
      <w:pPr>
        <w:pStyle w:val="Akapitzlist"/>
        <w:numPr>
          <w:ilvl w:val="0"/>
          <w:numId w:val="85"/>
        </w:numPr>
        <w:spacing w:line="360" w:lineRule="auto"/>
        <w:jc w:val="both"/>
        <w:rPr>
          <w:rFonts w:ascii="Times New Roman" w:hAnsi="Times New Roman" w:cs="Times New Roman"/>
          <w:sz w:val="24"/>
        </w:rPr>
      </w:pPr>
      <w:r w:rsidRPr="00A52EF3">
        <w:rPr>
          <w:rFonts w:ascii="Times New Roman" w:hAnsi="Times New Roman" w:cs="Times New Roman"/>
          <w:sz w:val="24"/>
        </w:rPr>
        <w:t>Raport osoby odpowiedzialnej</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Sporządzony za  cały okres trwania Programu Gospodarki Niskoemisyjnej, najpóźniej 6 miesięcy od dnia jego zakończenia</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lastRenderedPageBreak/>
        <w:t>Zawiera ilość zużytej energii w całym okresie</w:t>
      </w:r>
    </w:p>
    <w:p w:rsidR="00EC31C7"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przewidywaną redukcje emisji CO</w:t>
      </w:r>
      <w:r w:rsidRPr="00A52EF3">
        <w:rPr>
          <w:rFonts w:ascii="Times New Roman" w:hAnsi="Times New Roman" w:cs="Times New Roman"/>
          <w:sz w:val="24"/>
          <w:vertAlign w:val="subscript"/>
        </w:rPr>
        <w:t>2</w:t>
      </w:r>
      <w:r w:rsidRPr="00A52EF3">
        <w:rPr>
          <w:rFonts w:ascii="Times New Roman" w:hAnsi="Times New Roman" w:cs="Times New Roman"/>
          <w:sz w:val="24"/>
        </w:rPr>
        <w:t>, związków siarki i związków azotu, a także pyłów PM</w:t>
      </w:r>
      <w:r w:rsidRPr="00A52EF3">
        <w:rPr>
          <w:rFonts w:ascii="Times New Roman" w:hAnsi="Times New Roman" w:cs="Times New Roman"/>
          <w:sz w:val="24"/>
          <w:vertAlign w:val="subscript"/>
        </w:rPr>
        <w:t xml:space="preserve">10 </w:t>
      </w:r>
      <w:r w:rsidRPr="00A52EF3">
        <w:rPr>
          <w:rFonts w:ascii="Times New Roman" w:hAnsi="Times New Roman" w:cs="Times New Roman"/>
          <w:sz w:val="24"/>
        </w:rPr>
        <w:t>i PM</w:t>
      </w:r>
      <w:r w:rsidRPr="00A52EF3">
        <w:rPr>
          <w:rFonts w:ascii="Times New Roman" w:hAnsi="Times New Roman" w:cs="Times New Roman"/>
          <w:sz w:val="24"/>
          <w:vertAlign w:val="subscript"/>
        </w:rPr>
        <w:t>2,5</w:t>
      </w:r>
    </w:p>
    <w:p w:rsidR="00052A9B" w:rsidRPr="00A52EF3" w:rsidRDefault="00EC31C7" w:rsidP="00EC1C63">
      <w:pPr>
        <w:pStyle w:val="Akapitzlist"/>
        <w:numPr>
          <w:ilvl w:val="1"/>
          <w:numId w:val="85"/>
        </w:numPr>
        <w:spacing w:line="360" w:lineRule="auto"/>
        <w:jc w:val="both"/>
        <w:rPr>
          <w:rFonts w:ascii="Times New Roman" w:hAnsi="Times New Roman" w:cs="Times New Roman"/>
          <w:sz w:val="24"/>
        </w:rPr>
      </w:pPr>
      <w:r w:rsidRPr="00A52EF3">
        <w:rPr>
          <w:rFonts w:ascii="Times New Roman" w:hAnsi="Times New Roman" w:cs="Times New Roman"/>
          <w:sz w:val="24"/>
        </w:rPr>
        <w:t>Zawiera opis przedsięwzięć, które zostały zrealizowane i podsumowanie efektów wdrożenia tego programu.</w:t>
      </w:r>
    </w:p>
    <w:p w:rsidR="00052A9B" w:rsidRPr="00A52EF3" w:rsidRDefault="00052A9B" w:rsidP="00F25FCA">
      <w:pPr>
        <w:spacing w:line="360" w:lineRule="auto"/>
        <w:ind w:firstLine="720"/>
        <w:jc w:val="both"/>
        <w:rPr>
          <w:rFonts w:ascii="Times New Roman" w:hAnsi="Times New Roman" w:cs="Times New Roman"/>
          <w:sz w:val="24"/>
        </w:rPr>
      </w:pPr>
    </w:p>
    <w:p w:rsidR="003816DC" w:rsidRPr="00A52EF3" w:rsidRDefault="003816DC" w:rsidP="00F25FCA">
      <w:pPr>
        <w:spacing w:line="360" w:lineRule="auto"/>
        <w:ind w:firstLine="720"/>
        <w:jc w:val="both"/>
        <w:rPr>
          <w:rFonts w:ascii="Times New Roman" w:hAnsi="Times New Roman" w:cs="Times New Roman"/>
          <w:sz w:val="24"/>
          <w:szCs w:val="24"/>
        </w:rPr>
      </w:pPr>
      <w:r w:rsidRPr="00A52EF3">
        <w:rPr>
          <w:rFonts w:ascii="Times New Roman" w:hAnsi="Times New Roman" w:cs="Times New Roman"/>
          <w:sz w:val="24"/>
        </w:rPr>
        <w:t xml:space="preserve">Wskaźniki  realizacji  Planu Gospodarki Niskoemisyjnej  stanowią  instrument,  za  pomocą  którego  gmina  może w sposób  jednoznaczny  ocenić,  czy  wdrażanie  dokumentu  odbywa  się  w  stopniu wystarczającym  oraz  czy  zadania  w  nim  postawione  spełniają  swoją  rolę.  Jeśli  istnieje potrzeba ich zmian konieczne jest rozważenie zaktualizowania Planu. Poniżej  przedstawiono tytułem przykładu  wskaźniki,  za  pomocą  których  gmina  może  jednoznacznie określić </w:t>
      </w:r>
      <w:r w:rsidRPr="00A52EF3">
        <w:rPr>
          <w:rFonts w:ascii="Times New Roman" w:hAnsi="Times New Roman" w:cs="Times New Roman"/>
          <w:sz w:val="24"/>
          <w:szCs w:val="24"/>
        </w:rPr>
        <w:t>stopień realizacji Planu.</w:t>
      </w:r>
      <w:r w:rsidR="006C7675" w:rsidRPr="00A52EF3">
        <w:rPr>
          <w:rFonts w:ascii="Times New Roman" w:hAnsi="Times New Roman" w:cs="Times New Roman"/>
          <w:sz w:val="24"/>
          <w:szCs w:val="24"/>
        </w:rPr>
        <w:t xml:space="preserve"> </w:t>
      </w:r>
    </w:p>
    <w:p w:rsidR="00DB16AC" w:rsidRPr="00A52EF3" w:rsidRDefault="00DB16AC" w:rsidP="00F25FCA">
      <w:pPr>
        <w:spacing w:line="360" w:lineRule="auto"/>
        <w:ind w:firstLine="720"/>
        <w:jc w:val="both"/>
        <w:rPr>
          <w:rFonts w:ascii="Times New Roman" w:hAnsi="Times New Roman" w:cs="Times New Roman"/>
          <w:sz w:val="24"/>
          <w:szCs w:val="24"/>
        </w:rPr>
      </w:pPr>
    </w:p>
    <w:p w:rsidR="003816DC" w:rsidRPr="00A52EF3" w:rsidRDefault="003816DC" w:rsidP="00F25FCA">
      <w:pPr>
        <w:spacing w:line="360" w:lineRule="auto"/>
        <w:rPr>
          <w:rFonts w:ascii="Times New Roman" w:hAnsi="Times New Roman" w:cs="Times New Roman"/>
          <w:sz w:val="24"/>
          <w:szCs w:val="24"/>
        </w:rPr>
      </w:pPr>
      <w:r w:rsidRPr="00A52EF3">
        <w:rPr>
          <w:rFonts w:ascii="Times New Roman" w:hAnsi="Times New Roman" w:cs="Times New Roman"/>
          <w:sz w:val="24"/>
          <w:szCs w:val="24"/>
        </w:rPr>
        <w:t>Przykładowe wskaźniki monitoringu osiągania celów:</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Wartość zużycia energii w ciągu roku (MWh)</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Wartość emisji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xml:space="preserve"> w ciągu roku (Mg)</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Wartość zużycia energii odnawialnej w ciągu roku ( MWh)</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Procent obniżenia zużycia energii (%)</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Procent obniżenia emisji CO</w:t>
      </w:r>
      <w:r w:rsidRPr="00A52EF3">
        <w:rPr>
          <w:rFonts w:ascii="Times New Roman" w:hAnsi="Times New Roman" w:cs="Times New Roman"/>
          <w:sz w:val="24"/>
          <w:szCs w:val="24"/>
          <w:vertAlign w:val="subscript"/>
        </w:rPr>
        <w:t>2</w:t>
      </w:r>
      <w:r w:rsidRPr="00A52EF3">
        <w:rPr>
          <w:rFonts w:ascii="Times New Roman" w:hAnsi="Times New Roman" w:cs="Times New Roman"/>
          <w:sz w:val="24"/>
          <w:szCs w:val="24"/>
        </w:rPr>
        <w:t xml:space="preserve"> (%)</w:t>
      </w:r>
    </w:p>
    <w:p w:rsidR="003816DC" w:rsidRPr="00A52EF3" w:rsidRDefault="003816DC" w:rsidP="00F25FCA">
      <w:pPr>
        <w:pStyle w:val="Akapitzlist"/>
        <w:numPr>
          <w:ilvl w:val="0"/>
          <w:numId w:val="76"/>
        </w:numPr>
        <w:spacing w:line="360" w:lineRule="auto"/>
        <w:jc w:val="both"/>
        <w:rPr>
          <w:rFonts w:ascii="Times New Roman" w:hAnsi="Times New Roman" w:cs="Times New Roman"/>
          <w:sz w:val="24"/>
          <w:szCs w:val="24"/>
        </w:rPr>
      </w:pPr>
      <w:r w:rsidRPr="00A52EF3">
        <w:rPr>
          <w:rFonts w:ascii="Times New Roman" w:hAnsi="Times New Roman" w:cs="Times New Roman"/>
          <w:sz w:val="24"/>
          <w:szCs w:val="24"/>
        </w:rPr>
        <w:t>Procent wzrostu zużycia energii odnawialnej (%)</w:t>
      </w:r>
    </w:p>
    <w:p w:rsidR="00244584" w:rsidRPr="00A52EF3" w:rsidRDefault="00244584" w:rsidP="00244584">
      <w:pPr>
        <w:spacing w:line="360" w:lineRule="auto"/>
        <w:ind w:left="360"/>
        <w:jc w:val="both"/>
        <w:rPr>
          <w:rFonts w:ascii="Times New Roman" w:hAnsi="Times New Roman" w:cs="Times New Roman"/>
          <w:sz w:val="24"/>
          <w:szCs w:val="24"/>
        </w:rPr>
      </w:pPr>
    </w:p>
    <w:p w:rsidR="00DB16AC" w:rsidRPr="00A52EF3" w:rsidRDefault="00DB16AC" w:rsidP="00244584">
      <w:pPr>
        <w:spacing w:line="360" w:lineRule="auto"/>
        <w:ind w:left="360"/>
        <w:jc w:val="both"/>
        <w:rPr>
          <w:rFonts w:ascii="Times New Roman" w:hAnsi="Times New Roman" w:cs="Times New Roman"/>
          <w:sz w:val="24"/>
          <w:szCs w:val="24"/>
        </w:rPr>
      </w:pPr>
    </w:p>
    <w:p w:rsidR="00DB16AC" w:rsidRPr="00A52EF3" w:rsidRDefault="00DB16AC" w:rsidP="00244584">
      <w:pPr>
        <w:spacing w:line="360" w:lineRule="auto"/>
        <w:ind w:left="360"/>
        <w:jc w:val="both"/>
        <w:rPr>
          <w:rFonts w:ascii="Times New Roman" w:hAnsi="Times New Roman" w:cs="Times New Roman"/>
          <w:sz w:val="24"/>
          <w:szCs w:val="24"/>
        </w:rPr>
      </w:pPr>
    </w:p>
    <w:p w:rsidR="00DB16AC" w:rsidRPr="00A52EF3" w:rsidRDefault="00DB16AC" w:rsidP="00244584">
      <w:pPr>
        <w:spacing w:line="360" w:lineRule="auto"/>
        <w:ind w:left="360"/>
        <w:jc w:val="both"/>
        <w:rPr>
          <w:rFonts w:ascii="Times New Roman" w:hAnsi="Times New Roman" w:cs="Times New Roman"/>
          <w:sz w:val="24"/>
          <w:szCs w:val="24"/>
        </w:rPr>
      </w:pPr>
    </w:p>
    <w:p w:rsidR="00244584" w:rsidRPr="00A52EF3" w:rsidRDefault="00244584" w:rsidP="00244584">
      <w:pPr>
        <w:spacing w:line="360" w:lineRule="auto"/>
        <w:ind w:left="360"/>
        <w:jc w:val="both"/>
        <w:rPr>
          <w:rFonts w:ascii="Times New Roman" w:hAnsi="Times New Roman" w:cs="Times New Roman"/>
          <w:sz w:val="24"/>
          <w:szCs w:val="24"/>
        </w:rPr>
      </w:pPr>
      <w:r w:rsidRPr="00A52EF3">
        <w:rPr>
          <w:rFonts w:ascii="Times New Roman" w:hAnsi="Times New Roman" w:cs="Times New Roman"/>
          <w:sz w:val="24"/>
          <w:szCs w:val="24"/>
        </w:rPr>
        <w:t xml:space="preserve">Na podstawie tabeli „Krótko/średnioterminowe działania/zadania na lata </w:t>
      </w:r>
      <w:r w:rsidRPr="00A52EF3">
        <w:rPr>
          <w:rFonts w:ascii="Times New Roman" w:hAnsi="Times New Roman" w:cs="Times New Roman"/>
          <w:sz w:val="24"/>
          <w:szCs w:val="24"/>
        </w:rPr>
        <w:br/>
        <w:t>2016 – 2021 w Gminie Brody” przewiduje się osiągnięcie wskaźników realizacji PGN dla Gminy Brody do następujących wartości:</w:t>
      </w:r>
    </w:p>
    <w:tbl>
      <w:tblPr>
        <w:tblStyle w:val="Tabela-Siatka"/>
        <w:tblW w:w="5000" w:type="pct"/>
        <w:jc w:val="center"/>
        <w:tblLook w:val="04A0" w:firstRow="1" w:lastRow="0" w:firstColumn="1" w:lastColumn="0" w:noHBand="0" w:noVBand="1"/>
      </w:tblPr>
      <w:tblGrid>
        <w:gridCol w:w="2376"/>
        <w:gridCol w:w="2235"/>
        <w:gridCol w:w="2227"/>
        <w:gridCol w:w="2450"/>
      </w:tblGrid>
      <w:tr w:rsidR="00244584" w:rsidRPr="00A52EF3" w:rsidTr="00DE1918">
        <w:trPr>
          <w:jc w:val="center"/>
        </w:trPr>
        <w:tc>
          <w:tcPr>
            <w:tcW w:w="127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lastRenderedPageBreak/>
              <w:t>Sektory odbiorców</w:t>
            </w:r>
          </w:p>
        </w:tc>
        <w:tc>
          <w:tcPr>
            <w:tcW w:w="1203" w:type="pct"/>
            <w:shd w:val="clear" w:color="auto" w:fill="auto"/>
            <w:vAlign w:val="center"/>
          </w:tcPr>
          <w:p w:rsidR="00244584" w:rsidRPr="00A52EF3" w:rsidRDefault="00244584" w:rsidP="00DE1918">
            <w:pPr>
              <w:autoSpaceDE w:val="0"/>
              <w:autoSpaceDN w:val="0"/>
              <w:adjustRightInd w:val="0"/>
              <w:spacing w:line="360" w:lineRule="auto"/>
              <w:jc w:val="center"/>
              <w:rPr>
                <w:rFonts w:ascii="Times New Roman" w:hAnsi="Times New Roman" w:cs="Times New Roman"/>
                <w:sz w:val="24"/>
                <w:szCs w:val="24"/>
              </w:rPr>
            </w:pPr>
            <w:r w:rsidRPr="00A52EF3">
              <w:rPr>
                <w:rFonts w:ascii="Times New Roman" w:hAnsi="Times New Roman" w:cs="Times New Roman"/>
                <w:bCs/>
                <w:sz w:val="24"/>
                <w:szCs w:val="24"/>
              </w:rPr>
              <w:t>Szacowany efekt redukcji zużycia energii</w:t>
            </w:r>
          </w:p>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bCs/>
                <w:sz w:val="24"/>
                <w:szCs w:val="24"/>
              </w:rPr>
              <w:t>[MWh/rok]</w:t>
            </w:r>
          </w:p>
        </w:tc>
        <w:tc>
          <w:tcPr>
            <w:tcW w:w="1199" w:type="pct"/>
            <w:shd w:val="clear" w:color="auto" w:fill="auto"/>
            <w:vAlign w:val="center"/>
          </w:tcPr>
          <w:p w:rsidR="00244584" w:rsidRPr="00A52EF3" w:rsidRDefault="00244584" w:rsidP="00DE1918">
            <w:pPr>
              <w:autoSpaceDE w:val="0"/>
              <w:autoSpaceDN w:val="0"/>
              <w:adjustRightInd w:val="0"/>
              <w:spacing w:line="360" w:lineRule="auto"/>
              <w:jc w:val="center"/>
              <w:rPr>
                <w:rFonts w:ascii="Times New Roman" w:hAnsi="Times New Roman" w:cs="Times New Roman"/>
                <w:sz w:val="24"/>
                <w:szCs w:val="24"/>
              </w:rPr>
            </w:pPr>
            <w:r w:rsidRPr="00A52EF3">
              <w:rPr>
                <w:rFonts w:ascii="Times New Roman" w:hAnsi="Times New Roman" w:cs="Times New Roman"/>
                <w:bCs/>
                <w:sz w:val="24"/>
                <w:szCs w:val="24"/>
              </w:rPr>
              <w:t>Szacowny efekt redukcji emisji CO</w:t>
            </w:r>
            <w:r w:rsidRPr="00A52EF3">
              <w:rPr>
                <w:rFonts w:ascii="Times New Roman" w:hAnsi="Times New Roman" w:cs="Times New Roman"/>
                <w:bCs/>
                <w:sz w:val="24"/>
                <w:szCs w:val="24"/>
                <w:vertAlign w:val="subscript"/>
              </w:rPr>
              <w:t>2</w:t>
            </w:r>
          </w:p>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bCs/>
                <w:sz w:val="24"/>
                <w:szCs w:val="24"/>
              </w:rPr>
              <w:t>[Mg/rok]</w:t>
            </w:r>
          </w:p>
        </w:tc>
        <w:tc>
          <w:tcPr>
            <w:tcW w:w="131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eastAsia="Gulim" w:hAnsi="Times New Roman" w:cs="Times New Roman"/>
                <w:bCs/>
                <w:sz w:val="24"/>
                <w:szCs w:val="24"/>
              </w:rPr>
              <w:t xml:space="preserve">Szacunkowa ilość energii uzyskiwanej </w:t>
            </w:r>
            <w:r w:rsidRPr="00A52EF3">
              <w:rPr>
                <w:rFonts w:ascii="Times New Roman" w:eastAsia="Gulim" w:hAnsi="Times New Roman" w:cs="Times New Roman"/>
                <w:bCs/>
                <w:sz w:val="24"/>
                <w:szCs w:val="24"/>
              </w:rPr>
              <w:br/>
              <w:t>z OZE [MWh/rok]</w:t>
            </w:r>
          </w:p>
        </w:tc>
      </w:tr>
      <w:tr w:rsidR="00244584" w:rsidRPr="00A52EF3" w:rsidTr="00DE1918">
        <w:trPr>
          <w:jc w:val="center"/>
        </w:trPr>
        <w:tc>
          <w:tcPr>
            <w:tcW w:w="127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Budynki mieszkalne</w:t>
            </w:r>
          </w:p>
        </w:tc>
        <w:tc>
          <w:tcPr>
            <w:tcW w:w="1203"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8389,4</w:t>
            </w:r>
          </w:p>
        </w:tc>
        <w:tc>
          <w:tcPr>
            <w:tcW w:w="119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3321,77</w:t>
            </w:r>
          </w:p>
        </w:tc>
        <w:tc>
          <w:tcPr>
            <w:tcW w:w="131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0,92</w:t>
            </w:r>
          </w:p>
        </w:tc>
      </w:tr>
      <w:tr w:rsidR="00244584" w:rsidRPr="00A52EF3" w:rsidTr="00DE1918">
        <w:trPr>
          <w:trHeight w:val="394"/>
          <w:jc w:val="center"/>
        </w:trPr>
        <w:tc>
          <w:tcPr>
            <w:tcW w:w="127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Budynki użyteczności publicznej</w:t>
            </w:r>
          </w:p>
        </w:tc>
        <w:tc>
          <w:tcPr>
            <w:tcW w:w="1203"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56,7</w:t>
            </w:r>
          </w:p>
        </w:tc>
        <w:tc>
          <w:tcPr>
            <w:tcW w:w="1199" w:type="pct"/>
            <w:shd w:val="clear" w:color="auto" w:fill="auto"/>
            <w:vAlign w:val="center"/>
          </w:tcPr>
          <w:p w:rsidR="00244584" w:rsidRPr="00A52EF3" w:rsidRDefault="00244584" w:rsidP="00DE1918">
            <w:pPr>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19,32</w:t>
            </w:r>
          </w:p>
        </w:tc>
        <w:tc>
          <w:tcPr>
            <w:tcW w:w="1319" w:type="pct"/>
            <w:shd w:val="clear" w:color="auto" w:fill="auto"/>
            <w:vAlign w:val="center"/>
          </w:tcPr>
          <w:p w:rsidR="00244584" w:rsidRPr="00A52EF3" w:rsidRDefault="00244584" w:rsidP="00DE1918">
            <w:pPr>
              <w:keepNext/>
              <w:spacing w:line="360" w:lineRule="auto"/>
              <w:jc w:val="center"/>
              <w:rPr>
                <w:rFonts w:ascii="Times New Roman" w:hAnsi="Times New Roman" w:cs="Times New Roman"/>
                <w:sz w:val="24"/>
                <w:szCs w:val="24"/>
              </w:rPr>
            </w:pPr>
            <w:r w:rsidRPr="00A52EF3">
              <w:rPr>
                <w:rFonts w:ascii="Times New Roman" w:hAnsi="Times New Roman" w:cs="Times New Roman"/>
                <w:sz w:val="24"/>
                <w:szCs w:val="24"/>
              </w:rPr>
              <w:t>510,6</w:t>
            </w:r>
          </w:p>
        </w:tc>
      </w:tr>
    </w:tbl>
    <w:p w:rsidR="003816DC" w:rsidRPr="00A52EF3" w:rsidRDefault="003816DC" w:rsidP="00BB6E95">
      <w:pPr>
        <w:pStyle w:val="Nagwek2"/>
        <w:rPr>
          <w:rFonts w:ascii="Times New Roman" w:hAnsi="Times New Roman" w:cs="Times New Roman"/>
          <w:color w:val="auto"/>
          <w:shd w:val="clear" w:color="auto" w:fill="F4F4F4"/>
        </w:rPr>
      </w:pPr>
    </w:p>
    <w:p w:rsidR="00BB6E95" w:rsidRPr="00A52EF3" w:rsidRDefault="00BB6E95" w:rsidP="00BB6E95">
      <w:pPr>
        <w:pStyle w:val="Nagwek1"/>
        <w:numPr>
          <w:ilvl w:val="0"/>
          <w:numId w:val="89"/>
        </w:numPr>
        <w:rPr>
          <w:rFonts w:ascii="Times New Roman" w:hAnsi="Times New Roman" w:cs="Times New Roman"/>
          <w:color w:val="auto"/>
        </w:rPr>
      </w:pPr>
      <w:bookmarkStart w:id="116" w:name="_Toc470764045"/>
      <w:r w:rsidRPr="00A52EF3">
        <w:rPr>
          <w:rFonts w:ascii="Times New Roman" w:hAnsi="Times New Roman" w:cs="Times New Roman"/>
          <w:color w:val="auto"/>
        </w:rPr>
        <w:t>Ocena skuteczności Planu Gospodarki Niskoemisyjnej</w:t>
      </w:r>
      <w:bookmarkEnd w:id="116"/>
    </w:p>
    <w:p w:rsidR="00244584" w:rsidRPr="00A52EF3" w:rsidRDefault="00244584" w:rsidP="00244584">
      <w:pPr>
        <w:rPr>
          <w:rFonts w:ascii="Times New Roman" w:hAnsi="Times New Roman" w:cs="Times New Roman"/>
        </w:rPr>
      </w:pPr>
    </w:p>
    <w:p w:rsidR="00905E52" w:rsidRPr="00A52EF3" w:rsidRDefault="00BB6E95" w:rsidP="00905E52">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Procedura oceny osiąganych celów składać się będzie z punktów. Każdy z nich odpowiada za osobą cechę PGN-u. </w:t>
      </w:r>
      <w:r w:rsidR="00F0166C" w:rsidRPr="00A52EF3">
        <w:rPr>
          <w:rFonts w:ascii="Times New Roman" w:hAnsi="Times New Roman" w:cs="Times New Roman"/>
          <w:sz w:val="24"/>
          <w:szCs w:val="24"/>
        </w:rPr>
        <w:t xml:space="preserve">Pierwszym punktem jest sprawozdawczość z działalności wdrażającej ten program prowadzonej przez odpowiednie jednostki. Ocenie podlegać będzie złożenie sprawozdania z prac w terminie, dokładność opisania problemów i sposobów ich rozwiązywania, także opis kompleksowego prowadzenia działań. Kolejnym punktem jest </w:t>
      </w:r>
      <w:r w:rsidR="00AB04B1" w:rsidRPr="00A52EF3">
        <w:rPr>
          <w:rFonts w:ascii="Times New Roman" w:hAnsi="Times New Roman" w:cs="Times New Roman"/>
          <w:sz w:val="24"/>
          <w:szCs w:val="24"/>
        </w:rPr>
        <w:t xml:space="preserve">wielkość redukcji emisji CO2, związków siarki i związków azotu, a także pyłów PM10 </w:t>
      </w:r>
      <w:r w:rsidR="00EC1C63" w:rsidRPr="00A52EF3">
        <w:rPr>
          <w:rFonts w:ascii="Times New Roman" w:hAnsi="Times New Roman" w:cs="Times New Roman"/>
          <w:sz w:val="24"/>
          <w:szCs w:val="24"/>
        </w:rPr>
        <w:br/>
      </w:r>
      <w:r w:rsidR="00AB04B1" w:rsidRPr="00A52EF3">
        <w:rPr>
          <w:rFonts w:ascii="Times New Roman" w:hAnsi="Times New Roman" w:cs="Times New Roman"/>
          <w:sz w:val="24"/>
          <w:szCs w:val="24"/>
        </w:rPr>
        <w:t>i PM2,5</w:t>
      </w:r>
      <w:r w:rsidR="00F0166C" w:rsidRPr="00A52EF3">
        <w:rPr>
          <w:rFonts w:ascii="Times New Roman" w:hAnsi="Times New Roman" w:cs="Times New Roman"/>
          <w:sz w:val="24"/>
          <w:szCs w:val="24"/>
        </w:rPr>
        <w:t xml:space="preserve"> </w:t>
      </w:r>
      <w:r w:rsidR="00AB04B1" w:rsidRPr="00A52EF3">
        <w:rPr>
          <w:rFonts w:ascii="Times New Roman" w:hAnsi="Times New Roman" w:cs="Times New Roman"/>
          <w:sz w:val="24"/>
          <w:szCs w:val="24"/>
        </w:rPr>
        <w:t>. W tym punkcie porównane zostaną planowane wielkości emisji i wielkości rzeczywiste, które udało się osiągnąć w poszczególnych okresach kontrolnych. Da to jednoznaczny obraz tego jak PGN wpłynął na poprawę stanu środowiska w gminie.</w:t>
      </w:r>
      <w:r w:rsidR="00C33738" w:rsidRPr="00A52EF3">
        <w:rPr>
          <w:rFonts w:ascii="Times New Roman" w:hAnsi="Times New Roman" w:cs="Times New Roman"/>
          <w:sz w:val="24"/>
          <w:szCs w:val="24"/>
        </w:rPr>
        <w:t xml:space="preserve"> Dodatkowym punktem podlegającym ocenie będzie podsumowująca ocena skuteczności wdrażanego planu. Powinny się w nim znaleźć opisy zrealizowanych lub realizowanych projektów np. termomodernizacji, jakie wymierne korzyści wdrożenie tego programy przyniosło i jak długo każdy z podjętych projektów będzie trwał.</w:t>
      </w:r>
    </w:p>
    <w:p w:rsidR="00244584" w:rsidRPr="00A52EF3" w:rsidRDefault="00244584" w:rsidP="00905E52">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Wszelkie zmiany i rozszerzenia wykazów zadań podjętych ażeby osiągnąć cele PGN-u przyjmowane będą przez powołany zespół ds. PGN-u przez pocztę elektroniczną lub pocztą na adres gminy.</w:t>
      </w:r>
    </w:p>
    <w:p w:rsidR="00953900" w:rsidRPr="00A52EF3" w:rsidRDefault="00953900" w:rsidP="00953900">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 xml:space="preserve">Działania w </w:t>
      </w:r>
      <w:r w:rsidR="0093704B" w:rsidRPr="00A52EF3">
        <w:rPr>
          <w:rFonts w:ascii="Times New Roman" w:hAnsi="Times New Roman" w:cs="Times New Roman"/>
          <w:sz w:val="24"/>
          <w:szCs w:val="24"/>
        </w:rPr>
        <w:t>PGN m</w:t>
      </w:r>
      <w:r w:rsidRPr="00A52EF3">
        <w:rPr>
          <w:rFonts w:ascii="Times New Roman" w:hAnsi="Times New Roman" w:cs="Times New Roman"/>
          <w:sz w:val="24"/>
          <w:szCs w:val="24"/>
        </w:rPr>
        <w:t>ogą być uzupełniane</w:t>
      </w:r>
      <w:r w:rsidR="0093704B" w:rsidRPr="00A52EF3">
        <w:rPr>
          <w:rFonts w:ascii="Times New Roman" w:hAnsi="Times New Roman" w:cs="Times New Roman"/>
          <w:sz w:val="24"/>
          <w:szCs w:val="24"/>
        </w:rPr>
        <w:t xml:space="preserve"> przez sporządzenie</w:t>
      </w:r>
      <w:r w:rsidRPr="00A52EF3">
        <w:rPr>
          <w:rFonts w:ascii="Times New Roman" w:hAnsi="Times New Roman" w:cs="Times New Roman"/>
          <w:sz w:val="24"/>
          <w:szCs w:val="24"/>
        </w:rPr>
        <w:t xml:space="preserve"> w formie</w:t>
      </w:r>
      <w:r w:rsidR="0093704B" w:rsidRPr="00A52EF3">
        <w:rPr>
          <w:rFonts w:ascii="Times New Roman" w:hAnsi="Times New Roman" w:cs="Times New Roman"/>
          <w:sz w:val="24"/>
          <w:szCs w:val="24"/>
        </w:rPr>
        <w:t xml:space="preserve"> aneksu</w:t>
      </w:r>
      <w:r w:rsidRPr="00A52EF3">
        <w:rPr>
          <w:rFonts w:ascii="Times New Roman" w:hAnsi="Times New Roman" w:cs="Times New Roman"/>
          <w:sz w:val="24"/>
          <w:szCs w:val="24"/>
        </w:rPr>
        <w:t>,</w:t>
      </w:r>
      <w:r w:rsidR="0093704B" w:rsidRPr="00A52EF3">
        <w:rPr>
          <w:rFonts w:ascii="Times New Roman" w:hAnsi="Times New Roman" w:cs="Times New Roman"/>
          <w:sz w:val="24"/>
          <w:szCs w:val="24"/>
        </w:rPr>
        <w:t xml:space="preserve"> bez konieczności </w:t>
      </w:r>
      <w:r w:rsidRPr="00A52EF3">
        <w:rPr>
          <w:rFonts w:ascii="Times New Roman" w:hAnsi="Times New Roman" w:cs="Times New Roman"/>
          <w:sz w:val="24"/>
          <w:szCs w:val="24"/>
        </w:rPr>
        <w:t>przeliczania celów po 2018 roku, a uwzględnienie wartości efektów po 2018 roku.</w:t>
      </w:r>
    </w:p>
    <w:p w:rsidR="00D151B7" w:rsidRPr="00A52EF3" w:rsidRDefault="00DE1918" w:rsidP="00D151B7">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lastRenderedPageBreak/>
        <w:t>Strategiczna ocena oddziaływania na środowisko jest procedurą administracyjną prowadzoną w przypadku projektów takich jak koncepcja przestrzennego zagospodarowania kraju, studium uwarunkowań i kierunków zagospodarowania przestrzenn</w:t>
      </w:r>
      <w:r w:rsidR="00D151B7" w:rsidRPr="00A52EF3">
        <w:rPr>
          <w:rFonts w:ascii="Times New Roman" w:hAnsi="Times New Roman" w:cs="Times New Roman"/>
          <w:sz w:val="24"/>
          <w:szCs w:val="24"/>
        </w:rPr>
        <w:t xml:space="preserve">ego (na poziomie gminy), planów </w:t>
      </w:r>
      <w:r w:rsidRPr="00A52EF3">
        <w:rPr>
          <w:rFonts w:ascii="Times New Roman" w:hAnsi="Times New Roman" w:cs="Times New Roman"/>
          <w:sz w:val="24"/>
          <w:szCs w:val="24"/>
        </w:rPr>
        <w:t xml:space="preserve">zagospodarowania przestrzennego, przyjmowanych przez administrację </w:t>
      </w:r>
      <w:r w:rsidR="00D151B7" w:rsidRPr="00A52EF3">
        <w:rPr>
          <w:rFonts w:ascii="Times New Roman" w:hAnsi="Times New Roman" w:cs="Times New Roman"/>
          <w:sz w:val="24"/>
          <w:szCs w:val="24"/>
        </w:rPr>
        <w:t xml:space="preserve">strategii rozwoju regionalnego, </w:t>
      </w:r>
      <w:r w:rsidRPr="00A52EF3">
        <w:rPr>
          <w:rFonts w:ascii="Times New Roman" w:hAnsi="Times New Roman" w:cs="Times New Roman"/>
          <w:sz w:val="24"/>
          <w:szCs w:val="24"/>
        </w:rPr>
        <w:t>polityk, strategii, planów lub programów z zakresu przemysłu, energetyk</w:t>
      </w:r>
      <w:r w:rsidR="00D151B7" w:rsidRPr="00A52EF3">
        <w:rPr>
          <w:rFonts w:ascii="Times New Roman" w:hAnsi="Times New Roman" w:cs="Times New Roman"/>
          <w:sz w:val="24"/>
          <w:szCs w:val="24"/>
        </w:rPr>
        <w:t xml:space="preserve">i, transportu, telekomunikacji, </w:t>
      </w:r>
      <w:r w:rsidRPr="00A52EF3">
        <w:rPr>
          <w:rFonts w:ascii="Times New Roman" w:hAnsi="Times New Roman" w:cs="Times New Roman"/>
          <w:sz w:val="24"/>
          <w:szCs w:val="24"/>
        </w:rPr>
        <w:t>gospodarki wodnej, gospodarki odpadami, leśnictwa, rolnictwa i rybołówstwa,</w:t>
      </w:r>
      <w:r w:rsidR="00D151B7" w:rsidRPr="00A52EF3">
        <w:rPr>
          <w:rFonts w:ascii="Times New Roman" w:hAnsi="Times New Roman" w:cs="Times New Roman"/>
          <w:sz w:val="24"/>
          <w:szCs w:val="24"/>
        </w:rPr>
        <w:t xml:space="preserve"> turystyki lub innego </w:t>
      </w:r>
      <w:r w:rsidRPr="00A52EF3">
        <w:rPr>
          <w:rFonts w:ascii="Times New Roman" w:hAnsi="Times New Roman" w:cs="Times New Roman"/>
          <w:sz w:val="24"/>
          <w:szCs w:val="24"/>
        </w:rPr>
        <w:t xml:space="preserve">wykorzystania terenu, które wyznaczają ramy dla późniejszych </w:t>
      </w:r>
      <w:r w:rsidR="00D151B7" w:rsidRPr="00A52EF3">
        <w:rPr>
          <w:rFonts w:ascii="Times New Roman" w:hAnsi="Times New Roman" w:cs="Times New Roman"/>
          <w:sz w:val="24"/>
          <w:szCs w:val="24"/>
        </w:rPr>
        <w:t>przedsięwzięć mogących znacząco oddziaływać na środowisko.</w:t>
      </w:r>
    </w:p>
    <w:p w:rsidR="00D151B7" w:rsidRPr="00A52EF3" w:rsidRDefault="00DE1918" w:rsidP="00F12BAE">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W myśl artykułu 3. ustawy z dnia 3 października 2008 r. o udostę</w:t>
      </w:r>
      <w:r w:rsidR="00D151B7" w:rsidRPr="00A52EF3">
        <w:rPr>
          <w:rFonts w:ascii="Times New Roman" w:hAnsi="Times New Roman" w:cs="Times New Roman"/>
          <w:sz w:val="24"/>
          <w:szCs w:val="24"/>
        </w:rPr>
        <w:t xml:space="preserve">pnianiu informacji </w:t>
      </w:r>
      <w:r w:rsidR="00D151B7" w:rsidRPr="00A52EF3">
        <w:rPr>
          <w:rFonts w:ascii="Times New Roman" w:hAnsi="Times New Roman" w:cs="Times New Roman"/>
          <w:sz w:val="24"/>
          <w:szCs w:val="24"/>
        </w:rPr>
        <w:br/>
        <w:t xml:space="preserve">o środowisku </w:t>
      </w:r>
      <w:r w:rsidRPr="00A52EF3">
        <w:rPr>
          <w:rFonts w:ascii="Times New Roman" w:hAnsi="Times New Roman" w:cs="Times New Roman"/>
          <w:sz w:val="24"/>
          <w:szCs w:val="24"/>
        </w:rPr>
        <w:t xml:space="preserve">i jego ochronie, udziale społeczeństwa w ochronie środowiska </w:t>
      </w:r>
      <w:r w:rsidR="00D151B7" w:rsidRPr="00A52EF3">
        <w:rPr>
          <w:rFonts w:ascii="Times New Roman" w:hAnsi="Times New Roman" w:cs="Times New Roman"/>
          <w:sz w:val="24"/>
          <w:szCs w:val="24"/>
        </w:rPr>
        <w:t xml:space="preserve">oraz o ocenach oddziaływania na </w:t>
      </w:r>
      <w:r w:rsidRPr="00A52EF3">
        <w:rPr>
          <w:rFonts w:ascii="Times New Roman" w:hAnsi="Times New Roman" w:cs="Times New Roman"/>
          <w:sz w:val="24"/>
          <w:szCs w:val="24"/>
        </w:rPr>
        <w:t>środowisko (Dz. U. z 2013 r. poz. 1235 ze zm.) ocena taka obejmuje uzg</w:t>
      </w:r>
      <w:r w:rsidR="00D151B7" w:rsidRPr="00A52EF3">
        <w:rPr>
          <w:rFonts w:ascii="Times New Roman" w:hAnsi="Times New Roman" w:cs="Times New Roman"/>
          <w:sz w:val="24"/>
          <w:szCs w:val="24"/>
        </w:rPr>
        <w:t xml:space="preserve">odnienie stopnia szczegółowości </w:t>
      </w:r>
      <w:r w:rsidRPr="00A52EF3">
        <w:rPr>
          <w:rFonts w:ascii="Times New Roman" w:hAnsi="Times New Roman" w:cs="Times New Roman"/>
          <w:sz w:val="24"/>
          <w:szCs w:val="24"/>
        </w:rPr>
        <w:t xml:space="preserve">z Regionalną Dyrekcją Ochrony Środowiska </w:t>
      </w:r>
      <w:r w:rsidR="00D151B7" w:rsidRPr="00A52EF3">
        <w:rPr>
          <w:rFonts w:ascii="Times New Roman" w:hAnsi="Times New Roman" w:cs="Times New Roman"/>
          <w:sz w:val="24"/>
          <w:szCs w:val="24"/>
        </w:rPr>
        <w:br/>
      </w:r>
      <w:r w:rsidRPr="00A52EF3">
        <w:rPr>
          <w:rFonts w:ascii="Times New Roman" w:hAnsi="Times New Roman" w:cs="Times New Roman"/>
          <w:sz w:val="24"/>
          <w:szCs w:val="24"/>
        </w:rPr>
        <w:t>i Państwowym Wojewódzkim Inspektorem Sanitarnym.</w:t>
      </w:r>
      <w:r w:rsidR="00F12BAE" w:rsidRPr="00A52EF3">
        <w:rPr>
          <w:rFonts w:ascii="Times New Roman" w:hAnsi="Times New Roman" w:cs="Times New Roman"/>
          <w:sz w:val="24"/>
          <w:szCs w:val="24"/>
        </w:rPr>
        <w:t xml:space="preserve"> </w:t>
      </w:r>
      <w:r w:rsidR="00D151B7" w:rsidRPr="00A52EF3">
        <w:rPr>
          <w:rFonts w:ascii="Times New Roman" w:hAnsi="Times New Roman" w:cs="Times New Roman"/>
          <w:sz w:val="24"/>
          <w:szCs w:val="24"/>
        </w:rPr>
        <w:t>Po zapoznaniu się z przedmiotową dokumentacją i projektem dokumentu Świętokrzyski Państwowy Wojewódzki Inspektor Sanitarny w Kielcach oraz Regionalna Dyrekcja Ochrony Środowiska w Kielcach  nie stwierdzili konieczności przeprowadzenia strategicznej oceny oddziaływania na środowisko dla projektu „Planu Gospodarki Niskoemisyjnej”.</w:t>
      </w:r>
      <w:r w:rsidR="00591A9F" w:rsidRPr="00A52EF3">
        <w:rPr>
          <w:rFonts w:ascii="Times New Roman" w:hAnsi="Times New Roman" w:cs="Times New Roman"/>
          <w:sz w:val="24"/>
          <w:szCs w:val="24"/>
        </w:rPr>
        <w:t xml:space="preserve"> Ta sama procedura dotyczy zmian PGN.</w:t>
      </w:r>
    </w:p>
    <w:p w:rsidR="00F12BAE" w:rsidRPr="00A52EF3" w:rsidRDefault="00F12BAE" w:rsidP="00D151B7">
      <w:pPr>
        <w:spacing w:line="360" w:lineRule="auto"/>
        <w:ind w:firstLine="708"/>
        <w:jc w:val="both"/>
        <w:rPr>
          <w:rFonts w:ascii="Times New Roman" w:hAnsi="Times New Roman" w:cs="Times New Roman"/>
          <w:sz w:val="24"/>
          <w:szCs w:val="24"/>
        </w:rPr>
      </w:pPr>
      <w:r w:rsidRPr="00A52EF3">
        <w:rPr>
          <w:rFonts w:ascii="Times New Roman" w:hAnsi="Times New Roman" w:cs="Times New Roman"/>
          <w:sz w:val="24"/>
          <w:szCs w:val="24"/>
        </w:rPr>
        <w:t>Pozytywna opinia Doradcy Energetycznego WFOŚiGW w Kielcach  będzie wymagana przy składaniu wniosku na dofinansowanie ze środków UE.</w:t>
      </w:r>
    </w:p>
    <w:sectPr w:rsidR="00F12BAE" w:rsidRPr="00A52EF3" w:rsidSect="00AD06FA">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AE3" w:rsidRDefault="00C90AE3" w:rsidP="00004E5F">
      <w:pPr>
        <w:spacing w:after="0" w:line="240" w:lineRule="auto"/>
      </w:pPr>
      <w:r>
        <w:separator/>
      </w:r>
    </w:p>
  </w:endnote>
  <w:endnote w:type="continuationSeparator" w:id="0">
    <w:p w:rsidR="00C90AE3" w:rsidRDefault="00C90AE3" w:rsidP="0000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Switzerland">
    <w:altName w:val="Times New Roman"/>
    <w:charset w:val="00"/>
    <w:family w:val="auto"/>
    <w:pitch w:val="variable"/>
    <w:sig w:usb0="00000007" w:usb1="00000000" w:usb2="00000000" w:usb3="00000000" w:csb0="00000003"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3463"/>
      <w:docPartObj>
        <w:docPartGallery w:val="Page Numbers (Bottom of Page)"/>
        <w:docPartUnique/>
      </w:docPartObj>
    </w:sdtPr>
    <w:sdtEndPr>
      <w:rPr>
        <w:color w:val="808080" w:themeColor="background1" w:themeShade="80"/>
        <w:spacing w:val="60"/>
      </w:rPr>
    </w:sdtEndPr>
    <w:sdtContent>
      <w:p w:rsidR="00881557" w:rsidRDefault="00881557" w:rsidP="005869E2">
        <w:pPr>
          <w:pStyle w:val="Stopka"/>
          <w:pBdr>
            <w:top w:val="single" w:sz="4" w:space="31" w:color="D9D9D9" w:themeColor="background1" w:themeShade="D9"/>
          </w:pBdr>
          <w:jc w:val="right"/>
        </w:pPr>
        <w:r>
          <w:fldChar w:fldCharType="begin"/>
        </w:r>
        <w:r>
          <w:instrText>PAGE   \* MERGEFORMAT</w:instrText>
        </w:r>
        <w:r>
          <w:fldChar w:fldCharType="separate"/>
        </w:r>
        <w:r w:rsidR="00E675C7">
          <w:rPr>
            <w:noProof/>
          </w:rPr>
          <w:t>120</w:t>
        </w:r>
        <w:r>
          <w:rPr>
            <w:noProof/>
          </w:rPr>
          <w:fldChar w:fldCharType="end"/>
        </w:r>
        <w:r>
          <w:t xml:space="preserve"> | </w:t>
        </w:r>
        <w:r>
          <w:rPr>
            <w:color w:val="808080" w:themeColor="background1" w:themeShade="80"/>
            <w:spacing w:val="60"/>
          </w:rPr>
          <w:t>Strona</w:t>
        </w:r>
      </w:p>
    </w:sdtContent>
  </w:sdt>
  <w:p w:rsidR="00881557" w:rsidRDefault="0088155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pPr>
      <w:pStyle w:val="Stopka"/>
      <w:pBdr>
        <w:top w:val="single" w:sz="4" w:space="1" w:color="D9D9D9" w:themeColor="background1" w:themeShade="D9"/>
      </w:pBdr>
      <w:jc w:val="right"/>
    </w:pPr>
    <w:r>
      <w:fldChar w:fldCharType="begin"/>
    </w:r>
    <w:r>
      <w:instrText>PAGE   \* MERGEFORMAT</w:instrText>
    </w:r>
    <w:r>
      <w:fldChar w:fldCharType="separate"/>
    </w:r>
    <w:r w:rsidR="00E675C7">
      <w:rPr>
        <w:noProof/>
      </w:rPr>
      <w:t>135</w:t>
    </w:r>
    <w:r>
      <w:rPr>
        <w:noProof/>
      </w:rPr>
      <w:fldChar w:fldCharType="end"/>
    </w:r>
    <w:r>
      <w:t xml:space="preserve"> | </w:t>
    </w:r>
    <w:r w:rsidRPr="001436DE">
      <w:rPr>
        <w:color w:val="808080" w:themeColor="background1" w:themeShade="80"/>
        <w:spacing w:val="60"/>
      </w:rPr>
      <w:t>Strona</w:t>
    </w:r>
  </w:p>
  <w:p w:rsidR="00881557" w:rsidRDefault="008815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AE3" w:rsidRDefault="00C90AE3" w:rsidP="00004E5F">
      <w:pPr>
        <w:spacing w:after="0" w:line="240" w:lineRule="auto"/>
      </w:pPr>
      <w:r>
        <w:separator/>
      </w:r>
    </w:p>
  </w:footnote>
  <w:footnote w:type="continuationSeparator" w:id="0">
    <w:p w:rsidR="00C90AE3" w:rsidRDefault="00C90AE3" w:rsidP="00004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rsidP="00F1157A">
    <w:pPr>
      <w:pStyle w:val="Nagwek"/>
    </w:pPr>
    <w:r>
      <w:rPr>
        <w:noProof/>
        <w:lang w:eastAsia="pl-PL"/>
      </w:rPr>
      <w:t xml:space="preserve">    </w:t>
    </w:r>
    <w:r>
      <w:rPr>
        <w:noProof/>
        <w:lang w:eastAsia="pl-PL"/>
      </w:rPr>
      <w:tab/>
      <w:t xml:space="preserve">                                                                                   </w:t>
    </w:r>
    <w:r>
      <w:rPr>
        <w:noProof/>
        <w:lang w:eastAsia="pl-PL"/>
      </w:rPr>
      <w:drawing>
        <wp:inline distT="0" distB="0" distL="0" distR="0" wp14:anchorId="71BD7F9E" wp14:editId="0DD5C79D">
          <wp:extent cx="4657725" cy="6172200"/>
          <wp:effectExtent l="0" t="0" r="0" b="0"/>
          <wp:docPr id="34" name="Obraz 34" descr="http://www.wachock.pl/userfiles/w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chock.pl/userfiles/w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7725" cy="6172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rsidP="00F1157A">
    <w:pPr>
      <w:pStyle w:val="Nagwek"/>
    </w:pPr>
    <w:r>
      <w:rPr>
        <w:noProof/>
        <w:lang w:eastAsia="pl-PL"/>
      </w:rPr>
      <w:t xml:space="preserve">     </w:t>
    </w:r>
    <w:r>
      <w:rPr>
        <w:noProof/>
        <w:lang w:eastAsia="pl-PL"/>
      </w:rPr>
      <w:drawing>
        <wp:inline distT="0" distB="0" distL="0" distR="0" wp14:anchorId="5D579372" wp14:editId="03C06C36">
          <wp:extent cx="1762125" cy="79057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790575"/>
                  </a:xfrm>
                  <a:prstGeom prst="rect">
                    <a:avLst/>
                  </a:prstGeom>
                  <a:noFill/>
                  <a:ln>
                    <a:noFill/>
                  </a:ln>
                </pic:spPr>
              </pic:pic>
            </a:graphicData>
          </a:graphic>
        </wp:inline>
      </w:drawing>
    </w:r>
    <w:r>
      <w:rPr>
        <w:noProof/>
        <w:lang w:eastAsia="pl-PL"/>
      </w:rPr>
      <w:t xml:space="preserve">   </w:t>
    </w:r>
    <w:r>
      <w:rPr>
        <w:noProof/>
        <w:lang w:eastAsia="pl-PL"/>
      </w:rPr>
      <w:tab/>
      <w:t xml:space="preserve">                                                                         </w:t>
    </w:r>
    <w:r>
      <w:rPr>
        <w:noProof/>
        <w:lang w:eastAsia="pl-PL"/>
      </w:rPr>
      <w:drawing>
        <wp:inline distT="0" distB="0" distL="0" distR="0" wp14:anchorId="08040765" wp14:editId="1D9C74E0">
          <wp:extent cx="704850" cy="934034"/>
          <wp:effectExtent l="0" t="0" r="0" b="0"/>
          <wp:docPr id="36" name="Obraz 36" descr="http://www.wachock.pl/userfiles/w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chock.pl/userfiles/wf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032" cy="93957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rsidP="00F1157A">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557" w:rsidRDefault="00881557" w:rsidP="00F1157A">
    <w:pPr>
      <w:pStyle w:val="Nagwek"/>
    </w:pPr>
    <w:r>
      <w:rPr>
        <w:noProof/>
        <w:lang w:eastAsia="pl-PL"/>
      </w:rPr>
      <w:t xml:space="preserve">     </w:t>
    </w:r>
    <w:r>
      <w:rPr>
        <w:noProof/>
        <w:lang w:eastAsia="pl-PL"/>
      </w:rPr>
      <w:drawing>
        <wp:inline distT="0" distB="0" distL="0" distR="0">
          <wp:extent cx="1762125" cy="79057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790575"/>
                  </a:xfrm>
                  <a:prstGeom prst="rect">
                    <a:avLst/>
                  </a:prstGeom>
                  <a:noFill/>
                  <a:ln>
                    <a:noFill/>
                  </a:ln>
                </pic:spPr>
              </pic:pic>
            </a:graphicData>
          </a:graphic>
        </wp:inline>
      </w:drawing>
    </w:r>
    <w:r>
      <w:rPr>
        <w:noProof/>
        <w:lang w:eastAsia="pl-PL"/>
      </w:rPr>
      <w:t xml:space="preserve">   </w:t>
    </w:r>
    <w:r>
      <w:rPr>
        <w:noProof/>
        <w:lang w:eastAsia="pl-PL"/>
      </w:rPr>
      <w:tab/>
      <w:t xml:space="preserve">                                                                         </w:t>
    </w:r>
    <w:r>
      <w:rPr>
        <w:noProof/>
        <w:lang w:eastAsia="pl-PL"/>
      </w:rPr>
      <w:drawing>
        <wp:inline distT="0" distB="0" distL="0" distR="0">
          <wp:extent cx="704850" cy="934034"/>
          <wp:effectExtent l="0" t="0" r="0" b="0"/>
          <wp:docPr id="44" name="Obraz 44" descr="http://www.wachock.pl/userfiles/w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chock.pl/userfiles/wf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032" cy="9395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B83"/>
    <w:multiLevelType w:val="hybridMultilevel"/>
    <w:tmpl w:val="F8A45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7E3CEA"/>
    <w:multiLevelType w:val="hybridMultilevel"/>
    <w:tmpl w:val="24D0A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BD16E9"/>
    <w:multiLevelType w:val="multilevel"/>
    <w:tmpl w:val="20BC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35422"/>
    <w:multiLevelType w:val="multilevel"/>
    <w:tmpl w:val="E6782A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88C0574"/>
    <w:multiLevelType w:val="hybridMultilevel"/>
    <w:tmpl w:val="C6786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A5257A"/>
    <w:multiLevelType w:val="multilevel"/>
    <w:tmpl w:val="FA88ED9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nsid w:val="09C61088"/>
    <w:multiLevelType w:val="hybridMultilevel"/>
    <w:tmpl w:val="6A12B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396E83"/>
    <w:multiLevelType w:val="hybridMultilevel"/>
    <w:tmpl w:val="A63606AA"/>
    <w:lvl w:ilvl="0" w:tplc="1FA44E8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5267CB"/>
    <w:multiLevelType w:val="multilevel"/>
    <w:tmpl w:val="25A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816FEF"/>
    <w:multiLevelType w:val="multilevel"/>
    <w:tmpl w:val="055602EC"/>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b w:val="0"/>
        <w:sz w:val="24"/>
      </w:rPr>
    </w:lvl>
    <w:lvl w:ilvl="3">
      <w:start w:val="1"/>
      <w:numFmt w:val="bullet"/>
      <w:lvlText w:val=""/>
      <w:lvlJc w:val="left"/>
      <w:pPr>
        <w:tabs>
          <w:tab w:val="num" w:pos="1800"/>
        </w:tabs>
        <w:ind w:left="1800" w:hanging="360"/>
      </w:pPr>
      <w:rPr>
        <w:rFonts w:ascii="Symbol" w:hAnsi="Symbol" w:cs="OpenSymbol" w:hint="default"/>
        <w:b w:val="0"/>
        <w:sz w:val="24"/>
      </w:rPr>
    </w:lvl>
    <w:lvl w:ilvl="4">
      <w:start w:val="1"/>
      <w:numFmt w:val="bullet"/>
      <w:lvlText w:val="◦"/>
      <w:lvlJc w:val="left"/>
      <w:pPr>
        <w:tabs>
          <w:tab w:val="num" w:pos="2160"/>
        </w:tabs>
        <w:ind w:left="2160" w:hanging="360"/>
      </w:pPr>
      <w:rPr>
        <w:rFonts w:ascii="OpenSymbol" w:hAnsi="OpenSymbol" w:cs="OpenSymbol" w:hint="default"/>
        <w:b w:val="0"/>
        <w:sz w:val="24"/>
      </w:rPr>
    </w:lvl>
    <w:lvl w:ilvl="5">
      <w:start w:val="1"/>
      <w:numFmt w:val="bullet"/>
      <w:lvlText w:val="▪"/>
      <w:lvlJc w:val="left"/>
      <w:pPr>
        <w:tabs>
          <w:tab w:val="num" w:pos="2520"/>
        </w:tabs>
        <w:ind w:left="2520" w:hanging="360"/>
      </w:pPr>
      <w:rPr>
        <w:rFonts w:ascii="OpenSymbol" w:hAnsi="OpenSymbol" w:cs="OpenSymbol" w:hint="default"/>
        <w:b w:val="0"/>
        <w:sz w:val="24"/>
      </w:rPr>
    </w:lvl>
    <w:lvl w:ilvl="6">
      <w:start w:val="1"/>
      <w:numFmt w:val="bullet"/>
      <w:lvlText w:val=""/>
      <w:lvlJc w:val="left"/>
      <w:pPr>
        <w:tabs>
          <w:tab w:val="num" w:pos="2880"/>
        </w:tabs>
        <w:ind w:left="2880" w:hanging="360"/>
      </w:pPr>
      <w:rPr>
        <w:rFonts w:ascii="Symbol" w:hAnsi="Symbol" w:cs="OpenSymbol" w:hint="default"/>
        <w:b w:val="0"/>
        <w:sz w:val="24"/>
      </w:rPr>
    </w:lvl>
    <w:lvl w:ilvl="7">
      <w:start w:val="1"/>
      <w:numFmt w:val="bullet"/>
      <w:lvlText w:val="◦"/>
      <w:lvlJc w:val="left"/>
      <w:pPr>
        <w:tabs>
          <w:tab w:val="num" w:pos="3240"/>
        </w:tabs>
        <w:ind w:left="3240" w:hanging="360"/>
      </w:pPr>
      <w:rPr>
        <w:rFonts w:ascii="OpenSymbol" w:hAnsi="OpenSymbol" w:cs="OpenSymbol" w:hint="default"/>
        <w:b w:val="0"/>
        <w:sz w:val="24"/>
      </w:rPr>
    </w:lvl>
    <w:lvl w:ilvl="8">
      <w:start w:val="1"/>
      <w:numFmt w:val="bullet"/>
      <w:lvlText w:val="▪"/>
      <w:lvlJc w:val="left"/>
      <w:pPr>
        <w:tabs>
          <w:tab w:val="num" w:pos="3600"/>
        </w:tabs>
        <w:ind w:left="3600" w:hanging="360"/>
      </w:pPr>
      <w:rPr>
        <w:rFonts w:ascii="OpenSymbol" w:hAnsi="OpenSymbol" w:cs="OpenSymbol" w:hint="default"/>
        <w:b w:val="0"/>
        <w:sz w:val="24"/>
      </w:rPr>
    </w:lvl>
  </w:abstractNum>
  <w:abstractNum w:abstractNumId="10">
    <w:nsid w:val="100543F7"/>
    <w:multiLevelType w:val="hybridMultilevel"/>
    <w:tmpl w:val="95E26A0C"/>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D13B41"/>
    <w:multiLevelType w:val="multilevel"/>
    <w:tmpl w:val="FB8C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4A1D04"/>
    <w:multiLevelType w:val="multilevel"/>
    <w:tmpl w:val="9684B8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E26861"/>
    <w:multiLevelType w:val="hybridMultilevel"/>
    <w:tmpl w:val="616C0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FC64CC"/>
    <w:multiLevelType w:val="multilevel"/>
    <w:tmpl w:val="59C0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5517DA"/>
    <w:multiLevelType w:val="multilevel"/>
    <w:tmpl w:val="8E08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C10262"/>
    <w:multiLevelType w:val="multilevel"/>
    <w:tmpl w:val="2E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444170"/>
    <w:multiLevelType w:val="hybridMultilevel"/>
    <w:tmpl w:val="32B0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0157DC"/>
    <w:multiLevelType w:val="multilevel"/>
    <w:tmpl w:val="CE62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D5A46A3"/>
    <w:multiLevelType w:val="multilevel"/>
    <w:tmpl w:val="3B385F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810715"/>
    <w:multiLevelType w:val="hybridMultilevel"/>
    <w:tmpl w:val="9528C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1C40BF"/>
    <w:multiLevelType w:val="hybridMultilevel"/>
    <w:tmpl w:val="3B2A3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0BB618D"/>
    <w:multiLevelType w:val="hybridMultilevel"/>
    <w:tmpl w:val="64242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294BD3"/>
    <w:multiLevelType w:val="hybridMultilevel"/>
    <w:tmpl w:val="5B7C1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8A680C"/>
    <w:multiLevelType w:val="hybridMultilevel"/>
    <w:tmpl w:val="DC3CA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BB3F11"/>
    <w:multiLevelType w:val="hybridMultilevel"/>
    <w:tmpl w:val="422E3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2E42B26"/>
    <w:multiLevelType w:val="hybridMultilevel"/>
    <w:tmpl w:val="22764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B10847"/>
    <w:multiLevelType w:val="multilevel"/>
    <w:tmpl w:val="8640BCD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8">
    <w:nsid w:val="241C7273"/>
    <w:multiLevelType w:val="hybridMultilevel"/>
    <w:tmpl w:val="0B761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3509BB"/>
    <w:multiLevelType w:val="multilevel"/>
    <w:tmpl w:val="F5FEC2C0"/>
    <w:lvl w:ilvl="0">
      <w:start w:val="1"/>
      <w:numFmt w:val="bullet"/>
      <w:lvlText w:val=""/>
      <w:lvlJc w:val="left"/>
      <w:pPr>
        <w:tabs>
          <w:tab w:val="num" w:pos="720"/>
        </w:tabs>
        <w:ind w:left="720" w:hanging="360"/>
      </w:pPr>
      <w:rPr>
        <w:rFonts w:ascii="Wingdings" w:hAnsi="Wingdings" w:cs="OpenSymbol" w:hint="default"/>
        <w:b w:val="0"/>
        <w:sz w:val="24"/>
      </w:rPr>
    </w:lvl>
    <w:lvl w:ilvl="1">
      <w:start w:val="1"/>
      <w:numFmt w:val="bullet"/>
      <w:lvlText w:val=""/>
      <w:lvlJc w:val="left"/>
      <w:pPr>
        <w:tabs>
          <w:tab w:val="num" w:pos="1080"/>
        </w:tabs>
        <w:ind w:left="1080" w:hanging="360"/>
      </w:pPr>
      <w:rPr>
        <w:rFonts w:ascii="Wingdings" w:hAnsi="Wingdings" w:cs="OpenSymbol" w:hint="default"/>
        <w:b w:val="0"/>
        <w:sz w:val="24"/>
      </w:rPr>
    </w:lvl>
    <w:lvl w:ilvl="2">
      <w:start w:val="1"/>
      <w:numFmt w:val="bullet"/>
      <w:lvlText w:val=""/>
      <w:lvlJc w:val="left"/>
      <w:pPr>
        <w:tabs>
          <w:tab w:val="num" w:pos="1440"/>
        </w:tabs>
        <w:ind w:left="1440" w:hanging="360"/>
      </w:pPr>
      <w:rPr>
        <w:rFonts w:ascii="Wingdings" w:hAnsi="Wingdings" w:cs="OpenSymbol" w:hint="default"/>
        <w:b w:val="0"/>
        <w:sz w:val="24"/>
      </w:rPr>
    </w:lvl>
    <w:lvl w:ilvl="3">
      <w:start w:val="1"/>
      <w:numFmt w:val="bullet"/>
      <w:lvlText w:val=""/>
      <w:lvlJc w:val="left"/>
      <w:pPr>
        <w:tabs>
          <w:tab w:val="num" w:pos="1800"/>
        </w:tabs>
        <w:ind w:left="1800" w:hanging="360"/>
      </w:pPr>
      <w:rPr>
        <w:rFonts w:ascii="Wingdings" w:hAnsi="Wingdings" w:cs="OpenSymbol" w:hint="default"/>
        <w:b w:val="0"/>
        <w:sz w:val="24"/>
      </w:rPr>
    </w:lvl>
    <w:lvl w:ilvl="4">
      <w:start w:val="1"/>
      <w:numFmt w:val="bullet"/>
      <w:lvlText w:val=""/>
      <w:lvlJc w:val="left"/>
      <w:pPr>
        <w:tabs>
          <w:tab w:val="num" w:pos="2160"/>
        </w:tabs>
        <w:ind w:left="2160" w:hanging="360"/>
      </w:pPr>
      <w:rPr>
        <w:rFonts w:ascii="Wingdings" w:hAnsi="Wingdings" w:cs="OpenSymbol" w:hint="default"/>
        <w:b w:val="0"/>
        <w:sz w:val="24"/>
      </w:rPr>
    </w:lvl>
    <w:lvl w:ilvl="5">
      <w:start w:val="1"/>
      <w:numFmt w:val="bullet"/>
      <w:lvlText w:val=""/>
      <w:lvlJc w:val="left"/>
      <w:pPr>
        <w:tabs>
          <w:tab w:val="num" w:pos="2520"/>
        </w:tabs>
        <w:ind w:left="2520" w:hanging="360"/>
      </w:pPr>
      <w:rPr>
        <w:rFonts w:ascii="Wingdings" w:hAnsi="Wingdings" w:cs="OpenSymbol" w:hint="default"/>
        <w:b w:val="0"/>
        <w:sz w:val="24"/>
      </w:rPr>
    </w:lvl>
    <w:lvl w:ilvl="6">
      <w:start w:val="1"/>
      <w:numFmt w:val="bullet"/>
      <w:lvlText w:val=""/>
      <w:lvlJc w:val="left"/>
      <w:pPr>
        <w:tabs>
          <w:tab w:val="num" w:pos="2880"/>
        </w:tabs>
        <w:ind w:left="2880" w:hanging="360"/>
      </w:pPr>
      <w:rPr>
        <w:rFonts w:ascii="Wingdings" w:hAnsi="Wingdings" w:cs="OpenSymbol" w:hint="default"/>
        <w:b w:val="0"/>
        <w:sz w:val="24"/>
      </w:rPr>
    </w:lvl>
    <w:lvl w:ilvl="7">
      <w:start w:val="1"/>
      <w:numFmt w:val="bullet"/>
      <w:lvlText w:val=""/>
      <w:lvlJc w:val="left"/>
      <w:pPr>
        <w:tabs>
          <w:tab w:val="num" w:pos="3240"/>
        </w:tabs>
        <w:ind w:left="3240" w:hanging="360"/>
      </w:pPr>
      <w:rPr>
        <w:rFonts w:ascii="Wingdings" w:hAnsi="Wingdings" w:cs="OpenSymbol" w:hint="default"/>
        <w:b w:val="0"/>
        <w:sz w:val="24"/>
      </w:rPr>
    </w:lvl>
    <w:lvl w:ilvl="8">
      <w:start w:val="1"/>
      <w:numFmt w:val="bullet"/>
      <w:lvlText w:val=""/>
      <w:lvlJc w:val="left"/>
      <w:pPr>
        <w:tabs>
          <w:tab w:val="num" w:pos="3600"/>
        </w:tabs>
        <w:ind w:left="3600" w:hanging="360"/>
      </w:pPr>
      <w:rPr>
        <w:rFonts w:ascii="Wingdings" w:hAnsi="Wingdings" w:cs="OpenSymbol" w:hint="default"/>
        <w:b w:val="0"/>
        <w:sz w:val="24"/>
      </w:rPr>
    </w:lvl>
  </w:abstractNum>
  <w:abstractNum w:abstractNumId="30">
    <w:nsid w:val="28B315AC"/>
    <w:multiLevelType w:val="hybridMultilevel"/>
    <w:tmpl w:val="49EC3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B906CCA"/>
    <w:multiLevelType w:val="multilevel"/>
    <w:tmpl w:val="B7C6C50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2EBA60DA"/>
    <w:multiLevelType w:val="hybridMultilevel"/>
    <w:tmpl w:val="980EE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2687F0A"/>
    <w:multiLevelType w:val="hybridMultilevel"/>
    <w:tmpl w:val="F4E4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39F1870"/>
    <w:multiLevelType w:val="multilevel"/>
    <w:tmpl w:val="74C896BE"/>
    <w:lvl w:ilvl="0">
      <w:start w:val="1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4834AF6"/>
    <w:multiLevelType w:val="multilevel"/>
    <w:tmpl w:val="2754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FA0A2E"/>
    <w:multiLevelType w:val="hybridMultilevel"/>
    <w:tmpl w:val="77568DB2"/>
    <w:lvl w:ilvl="0" w:tplc="72500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5DF6BE4"/>
    <w:multiLevelType w:val="hybridMultilevel"/>
    <w:tmpl w:val="9BC8E0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B822054"/>
    <w:multiLevelType w:val="multilevel"/>
    <w:tmpl w:val="C0FE7F20"/>
    <w:lvl w:ilvl="0">
      <w:start w:val="1"/>
      <w:numFmt w:val="bullet"/>
      <w:lvlText w:val=""/>
      <w:lvlJc w:val="left"/>
      <w:pPr>
        <w:tabs>
          <w:tab w:val="num" w:pos="1173"/>
        </w:tabs>
        <w:ind w:left="1173" w:hanging="360"/>
      </w:pPr>
      <w:rPr>
        <w:rFonts w:ascii="Symbol" w:hAnsi="Symbol" w:cs="OpenSymbol" w:hint="default"/>
        <w:b w:val="0"/>
        <w:sz w:val="24"/>
      </w:rPr>
    </w:lvl>
    <w:lvl w:ilvl="1">
      <w:start w:val="1"/>
      <w:numFmt w:val="bullet"/>
      <w:lvlText w:val="◦"/>
      <w:lvlJc w:val="left"/>
      <w:pPr>
        <w:tabs>
          <w:tab w:val="num" w:pos="1533"/>
        </w:tabs>
        <w:ind w:left="1533" w:hanging="360"/>
      </w:pPr>
      <w:rPr>
        <w:rFonts w:ascii="OpenSymbol" w:hAnsi="OpenSymbol" w:cs="OpenSymbol" w:hint="default"/>
        <w:b w:val="0"/>
        <w:sz w:val="24"/>
      </w:rPr>
    </w:lvl>
    <w:lvl w:ilvl="2">
      <w:start w:val="1"/>
      <w:numFmt w:val="bullet"/>
      <w:lvlText w:val="▪"/>
      <w:lvlJc w:val="left"/>
      <w:pPr>
        <w:tabs>
          <w:tab w:val="num" w:pos="1893"/>
        </w:tabs>
        <w:ind w:left="1893" w:hanging="360"/>
      </w:pPr>
      <w:rPr>
        <w:rFonts w:ascii="OpenSymbol" w:hAnsi="OpenSymbol" w:cs="OpenSymbol" w:hint="default"/>
        <w:b w:val="0"/>
        <w:sz w:val="24"/>
      </w:rPr>
    </w:lvl>
    <w:lvl w:ilvl="3">
      <w:start w:val="1"/>
      <w:numFmt w:val="bullet"/>
      <w:lvlText w:val=""/>
      <w:lvlJc w:val="left"/>
      <w:pPr>
        <w:tabs>
          <w:tab w:val="num" w:pos="2253"/>
        </w:tabs>
        <w:ind w:left="2253" w:hanging="360"/>
      </w:pPr>
      <w:rPr>
        <w:rFonts w:ascii="Symbol" w:hAnsi="Symbol" w:cs="OpenSymbol" w:hint="default"/>
        <w:b w:val="0"/>
        <w:sz w:val="24"/>
      </w:rPr>
    </w:lvl>
    <w:lvl w:ilvl="4">
      <w:start w:val="1"/>
      <w:numFmt w:val="bullet"/>
      <w:lvlText w:val="◦"/>
      <w:lvlJc w:val="left"/>
      <w:pPr>
        <w:tabs>
          <w:tab w:val="num" w:pos="2613"/>
        </w:tabs>
        <w:ind w:left="2613" w:hanging="360"/>
      </w:pPr>
      <w:rPr>
        <w:rFonts w:ascii="OpenSymbol" w:hAnsi="OpenSymbol" w:cs="OpenSymbol" w:hint="default"/>
        <w:b w:val="0"/>
        <w:sz w:val="24"/>
      </w:rPr>
    </w:lvl>
    <w:lvl w:ilvl="5">
      <w:start w:val="1"/>
      <w:numFmt w:val="bullet"/>
      <w:lvlText w:val="▪"/>
      <w:lvlJc w:val="left"/>
      <w:pPr>
        <w:tabs>
          <w:tab w:val="num" w:pos="2973"/>
        </w:tabs>
        <w:ind w:left="2973" w:hanging="360"/>
      </w:pPr>
      <w:rPr>
        <w:rFonts w:ascii="OpenSymbol" w:hAnsi="OpenSymbol" w:cs="OpenSymbol" w:hint="default"/>
        <w:b w:val="0"/>
        <w:sz w:val="24"/>
      </w:rPr>
    </w:lvl>
    <w:lvl w:ilvl="6">
      <w:start w:val="1"/>
      <w:numFmt w:val="bullet"/>
      <w:lvlText w:val=""/>
      <w:lvlJc w:val="left"/>
      <w:pPr>
        <w:tabs>
          <w:tab w:val="num" w:pos="3333"/>
        </w:tabs>
        <w:ind w:left="3333" w:hanging="360"/>
      </w:pPr>
      <w:rPr>
        <w:rFonts w:ascii="Symbol" w:hAnsi="Symbol" w:cs="OpenSymbol" w:hint="default"/>
        <w:b w:val="0"/>
        <w:sz w:val="24"/>
      </w:rPr>
    </w:lvl>
    <w:lvl w:ilvl="7">
      <w:start w:val="1"/>
      <w:numFmt w:val="bullet"/>
      <w:lvlText w:val="◦"/>
      <w:lvlJc w:val="left"/>
      <w:pPr>
        <w:tabs>
          <w:tab w:val="num" w:pos="3693"/>
        </w:tabs>
        <w:ind w:left="3693" w:hanging="360"/>
      </w:pPr>
      <w:rPr>
        <w:rFonts w:ascii="OpenSymbol" w:hAnsi="OpenSymbol" w:cs="OpenSymbol" w:hint="default"/>
        <w:b w:val="0"/>
        <w:sz w:val="24"/>
      </w:rPr>
    </w:lvl>
    <w:lvl w:ilvl="8">
      <w:start w:val="1"/>
      <w:numFmt w:val="bullet"/>
      <w:lvlText w:val="▪"/>
      <w:lvlJc w:val="left"/>
      <w:pPr>
        <w:tabs>
          <w:tab w:val="num" w:pos="4053"/>
        </w:tabs>
        <w:ind w:left="4053" w:hanging="360"/>
      </w:pPr>
      <w:rPr>
        <w:rFonts w:ascii="OpenSymbol" w:hAnsi="OpenSymbol" w:cs="OpenSymbol" w:hint="default"/>
        <w:b w:val="0"/>
        <w:sz w:val="24"/>
      </w:rPr>
    </w:lvl>
  </w:abstractNum>
  <w:abstractNum w:abstractNumId="39">
    <w:nsid w:val="3C8169B4"/>
    <w:multiLevelType w:val="hybridMultilevel"/>
    <w:tmpl w:val="8D5C7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B118D2"/>
    <w:multiLevelType w:val="hybridMultilevel"/>
    <w:tmpl w:val="AD2C0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FD174FC"/>
    <w:multiLevelType w:val="multilevel"/>
    <w:tmpl w:val="26E68C72"/>
    <w:lvl w:ilvl="0">
      <w:start w:val="1"/>
      <w:numFmt w:val="bullet"/>
      <w:lvlText w:val=""/>
      <w:lvlJc w:val="left"/>
      <w:pPr>
        <w:ind w:left="720" w:hanging="360"/>
      </w:pPr>
      <w:rPr>
        <w:rFonts w:ascii="Symbol" w:hAnsi="Symbol" w:hint="default"/>
      </w:rPr>
    </w:lvl>
    <w:lvl w:ilvl="1">
      <w:start w:val="1"/>
      <w:numFmt w:val="lowerLetter"/>
      <w:lvlText w:val="%2)"/>
      <w:lvlJc w:val="left"/>
      <w:pPr>
        <w:ind w:left="1470" w:hanging="39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2586F56"/>
    <w:multiLevelType w:val="hybridMultilevel"/>
    <w:tmpl w:val="E912F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44F607A"/>
    <w:multiLevelType w:val="hybridMultilevel"/>
    <w:tmpl w:val="8D789E40"/>
    <w:lvl w:ilvl="0" w:tplc="A8462620">
      <w:start w:val="1"/>
      <w:numFmt w:val="decimal"/>
      <w:lvlText w:val="%1."/>
      <w:lvlJc w:val="left"/>
      <w:pPr>
        <w:ind w:left="720" w:hanging="360"/>
      </w:pPr>
      <w:rPr>
        <w:rFonts w:asciiTheme="majorHAnsi" w:eastAsiaTheme="minorEastAsia" w:hAnsiTheme="majorHAnsi"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5AD398B"/>
    <w:multiLevelType w:val="multilevel"/>
    <w:tmpl w:val="A388297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5">
    <w:nsid w:val="461E35CE"/>
    <w:multiLevelType w:val="hybridMultilevel"/>
    <w:tmpl w:val="FE9EB926"/>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46">
    <w:nsid w:val="46AE3286"/>
    <w:multiLevelType w:val="hybridMultilevel"/>
    <w:tmpl w:val="911E9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6D175CE"/>
    <w:multiLevelType w:val="multilevel"/>
    <w:tmpl w:val="7DF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8C26D00"/>
    <w:multiLevelType w:val="hybridMultilevel"/>
    <w:tmpl w:val="F3DAB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8D432A9"/>
    <w:multiLevelType w:val="multilevel"/>
    <w:tmpl w:val="657EE9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49045A4A"/>
    <w:multiLevelType w:val="multilevel"/>
    <w:tmpl w:val="6C1E32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9F871F4"/>
    <w:multiLevelType w:val="hybridMultilevel"/>
    <w:tmpl w:val="D3BA0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B5B32B0"/>
    <w:multiLevelType w:val="multilevel"/>
    <w:tmpl w:val="A828AF1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4B5D0174"/>
    <w:multiLevelType w:val="multilevel"/>
    <w:tmpl w:val="CB700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BB80B9F"/>
    <w:multiLevelType w:val="multilevel"/>
    <w:tmpl w:val="C6F2E7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4FBD4DA3"/>
    <w:multiLevelType w:val="hybridMultilevel"/>
    <w:tmpl w:val="45040D96"/>
    <w:lvl w:ilvl="0" w:tplc="04150001">
      <w:start w:val="1"/>
      <w:numFmt w:val="bullet"/>
      <w:lvlText w:val=""/>
      <w:lvlJc w:val="left"/>
      <w:pPr>
        <w:ind w:left="1065" w:hanging="705"/>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026189D"/>
    <w:multiLevelType w:val="multilevel"/>
    <w:tmpl w:val="EE22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513127A"/>
    <w:multiLevelType w:val="multilevel"/>
    <w:tmpl w:val="2BE0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6997BAA"/>
    <w:multiLevelType w:val="hybridMultilevel"/>
    <w:tmpl w:val="7E261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76A5553"/>
    <w:multiLevelType w:val="hybridMultilevel"/>
    <w:tmpl w:val="671279B0"/>
    <w:lvl w:ilvl="0" w:tplc="BC0EF616">
      <w:numFmt w:val="bullet"/>
      <w:lvlText w:val="•"/>
      <w:lvlJc w:val="left"/>
      <w:pPr>
        <w:ind w:left="1065" w:hanging="705"/>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86E4299"/>
    <w:multiLevelType w:val="hybridMultilevel"/>
    <w:tmpl w:val="6CE88F8A"/>
    <w:lvl w:ilvl="0" w:tplc="C18A6AF6">
      <w:start w:val="5"/>
      <w:numFmt w:val="bullet"/>
      <w:lvlText w:val="-"/>
      <w:lvlJc w:val="left"/>
      <w:pPr>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58AF0128"/>
    <w:multiLevelType w:val="multilevel"/>
    <w:tmpl w:val="2D80DEC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E14757A"/>
    <w:multiLevelType w:val="multilevel"/>
    <w:tmpl w:val="5AF252A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3">
    <w:nsid w:val="5EBE6679"/>
    <w:multiLevelType w:val="hybridMultilevel"/>
    <w:tmpl w:val="DFBA7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EC32324"/>
    <w:multiLevelType w:val="hybridMultilevel"/>
    <w:tmpl w:val="FCE0D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EC6158C"/>
    <w:multiLevelType w:val="hybridMultilevel"/>
    <w:tmpl w:val="C696E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F244077"/>
    <w:multiLevelType w:val="hybridMultilevel"/>
    <w:tmpl w:val="A7889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F2F47B5"/>
    <w:multiLevelType w:val="multilevel"/>
    <w:tmpl w:val="4852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EF4D90"/>
    <w:multiLevelType w:val="hybridMultilevel"/>
    <w:tmpl w:val="897E3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2BE5C50"/>
    <w:multiLevelType w:val="hybridMultilevel"/>
    <w:tmpl w:val="47E8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4C65D45"/>
    <w:multiLevelType w:val="hybridMultilevel"/>
    <w:tmpl w:val="B7805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6312026"/>
    <w:multiLevelType w:val="hybridMultilevel"/>
    <w:tmpl w:val="3854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78D69AD"/>
    <w:multiLevelType w:val="hybridMultilevel"/>
    <w:tmpl w:val="C4883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A3B1566"/>
    <w:multiLevelType w:val="hybridMultilevel"/>
    <w:tmpl w:val="ACD62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AEC2DEC"/>
    <w:multiLevelType w:val="hybridMultilevel"/>
    <w:tmpl w:val="01068C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nsid w:val="6B5274E7"/>
    <w:multiLevelType w:val="hybridMultilevel"/>
    <w:tmpl w:val="06D67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E8D6E1C"/>
    <w:multiLevelType w:val="multilevel"/>
    <w:tmpl w:val="F42C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5051CFF"/>
    <w:multiLevelType w:val="hybridMultilevel"/>
    <w:tmpl w:val="430ED4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55B7CE4"/>
    <w:multiLevelType w:val="hybridMultilevel"/>
    <w:tmpl w:val="FBBA94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9">
    <w:nsid w:val="75DE0BBC"/>
    <w:multiLevelType w:val="multilevel"/>
    <w:tmpl w:val="D3CC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670044B"/>
    <w:multiLevelType w:val="hybridMultilevel"/>
    <w:tmpl w:val="C1DCA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7583BFB"/>
    <w:multiLevelType w:val="hybridMultilevel"/>
    <w:tmpl w:val="880EE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7862397"/>
    <w:multiLevelType w:val="hybridMultilevel"/>
    <w:tmpl w:val="156A02D4"/>
    <w:lvl w:ilvl="0" w:tplc="BC0EF616">
      <w:numFmt w:val="bullet"/>
      <w:lvlText w:val="•"/>
      <w:lvlJc w:val="left"/>
      <w:pPr>
        <w:ind w:left="1425" w:hanging="705"/>
      </w:pPr>
      <w:rPr>
        <w:rFonts w:ascii="Cambria" w:eastAsiaTheme="minorHAnsi" w:hAnsi="Cambria"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nsid w:val="77AB1B15"/>
    <w:multiLevelType w:val="multilevel"/>
    <w:tmpl w:val="30A0C07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b w:val="0"/>
        <w:sz w:val="24"/>
      </w:rPr>
    </w:lvl>
    <w:lvl w:ilvl="3">
      <w:start w:val="1"/>
      <w:numFmt w:val="bullet"/>
      <w:lvlText w:val=""/>
      <w:lvlJc w:val="left"/>
      <w:pPr>
        <w:tabs>
          <w:tab w:val="num" w:pos="1800"/>
        </w:tabs>
        <w:ind w:left="1800" w:hanging="360"/>
      </w:pPr>
      <w:rPr>
        <w:rFonts w:ascii="Symbol" w:hAnsi="Symbol" w:cs="OpenSymbol" w:hint="default"/>
        <w:b w:val="0"/>
        <w:sz w:val="24"/>
      </w:rPr>
    </w:lvl>
    <w:lvl w:ilvl="4">
      <w:start w:val="1"/>
      <w:numFmt w:val="bullet"/>
      <w:lvlText w:val="◦"/>
      <w:lvlJc w:val="left"/>
      <w:pPr>
        <w:tabs>
          <w:tab w:val="num" w:pos="2160"/>
        </w:tabs>
        <w:ind w:left="2160" w:hanging="360"/>
      </w:pPr>
      <w:rPr>
        <w:rFonts w:ascii="OpenSymbol" w:hAnsi="OpenSymbol" w:cs="OpenSymbol" w:hint="default"/>
        <w:b w:val="0"/>
        <w:sz w:val="24"/>
      </w:rPr>
    </w:lvl>
    <w:lvl w:ilvl="5">
      <w:start w:val="1"/>
      <w:numFmt w:val="bullet"/>
      <w:lvlText w:val="▪"/>
      <w:lvlJc w:val="left"/>
      <w:pPr>
        <w:tabs>
          <w:tab w:val="num" w:pos="2520"/>
        </w:tabs>
        <w:ind w:left="2520" w:hanging="360"/>
      </w:pPr>
      <w:rPr>
        <w:rFonts w:ascii="OpenSymbol" w:hAnsi="OpenSymbol" w:cs="OpenSymbol" w:hint="default"/>
        <w:b w:val="0"/>
        <w:sz w:val="24"/>
      </w:rPr>
    </w:lvl>
    <w:lvl w:ilvl="6">
      <w:start w:val="1"/>
      <w:numFmt w:val="bullet"/>
      <w:lvlText w:val=""/>
      <w:lvlJc w:val="left"/>
      <w:pPr>
        <w:tabs>
          <w:tab w:val="num" w:pos="2880"/>
        </w:tabs>
        <w:ind w:left="2880" w:hanging="360"/>
      </w:pPr>
      <w:rPr>
        <w:rFonts w:ascii="Symbol" w:hAnsi="Symbol" w:cs="OpenSymbol" w:hint="default"/>
        <w:b w:val="0"/>
        <w:sz w:val="24"/>
      </w:rPr>
    </w:lvl>
    <w:lvl w:ilvl="7">
      <w:start w:val="1"/>
      <w:numFmt w:val="bullet"/>
      <w:lvlText w:val="◦"/>
      <w:lvlJc w:val="left"/>
      <w:pPr>
        <w:tabs>
          <w:tab w:val="num" w:pos="3240"/>
        </w:tabs>
        <w:ind w:left="3240" w:hanging="360"/>
      </w:pPr>
      <w:rPr>
        <w:rFonts w:ascii="OpenSymbol" w:hAnsi="OpenSymbol" w:cs="OpenSymbol" w:hint="default"/>
        <w:b w:val="0"/>
        <w:sz w:val="24"/>
      </w:rPr>
    </w:lvl>
    <w:lvl w:ilvl="8">
      <w:start w:val="1"/>
      <w:numFmt w:val="bullet"/>
      <w:lvlText w:val="▪"/>
      <w:lvlJc w:val="left"/>
      <w:pPr>
        <w:tabs>
          <w:tab w:val="num" w:pos="3600"/>
        </w:tabs>
        <w:ind w:left="3600" w:hanging="360"/>
      </w:pPr>
      <w:rPr>
        <w:rFonts w:ascii="OpenSymbol" w:hAnsi="OpenSymbol" w:cs="OpenSymbol" w:hint="default"/>
        <w:b w:val="0"/>
        <w:sz w:val="24"/>
      </w:rPr>
    </w:lvl>
  </w:abstractNum>
  <w:abstractNum w:abstractNumId="84">
    <w:nsid w:val="77C93AE6"/>
    <w:multiLevelType w:val="hybridMultilevel"/>
    <w:tmpl w:val="76D07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83F481A"/>
    <w:multiLevelType w:val="hybridMultilevel"/>
    <w:tmpl w:val="C5C0F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A350AB7"/>
    <w:multiLevelType w:val="multilevel"/>
    <w:tmpl w:val="86D8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DD937DF"/>
    <w:multiLevelType w:val="hybridMultilevel"/>
    <w:tmpl w:val="6C1E3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F844D53"/>
    <w:multiLevelType w:val="multilevel"/>
    <w:tmpl w:val="82DE0BE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8"/>
  </w:num>
  <w:num w:numId="2">
    <w:abstractNumId w:val="81"/>
  </w:num>
  <w:num w:numId="3">
    <w:abstractNumId w:val="82"/>
  </w:num>
  <w:num w:numId="4">
    <w:abstractNumId w:val="59"/>
  </w:num>
  <w:num w:numId="5">
    <w:abstractNumId w:val="31"/>
  </w:num>
  <w:num w:numId="6">
    <w:abstractNumId w:val="87"/>
  </w:num>
  <w:num w:numId="7">
    <w:abstractNumId w:val="50"/>
  </w:num>
  <w:num w:numId="8">
    <w:abstractNumId w:val="41"/>
  </w:num>
  <w:num w:numId="9">
    <w:abstractNumId w:val="54"/>
  </w:num>
  <w:num w:numId="10">
    <w:abstractNumId w:val="55"/>
  </w:num>
  <w:num w:numId="11">
    <w:abstractNumId w:val="80"/>
  </w:num>
  <w:num w:numId="12">
    <w:abstractNumId w:val="36"/>
  </w:num>
  <w:num w:numId="13">
    <w:abstractNumId w:val="61"/>
  </w:num>
  <w:num w:numId="14">
    <w:abstractNumId w:val="26"/>
  </w:num>
  <w:num w:numId="15">
    <w:abstractNumId w:val="22"/>
  </w:num>
  <w:num w:numId="16">
    <w:abstractNumId w:val="30"/>
  </w:num>
  <w:num w:numId="17">
    <w:abstractNumId w:val="66"/>
  </w:num>
  <w:num w:numId="18">
    <w:abstractNumId w:val="75"/>
  </w:num>
  <w:num w:numId="19">
    <w:abstractNumId w:val="20"/>
  </w:num>
  <w:num w:numId="20">
    <w:abstractNumId w:val="69"/>
  </w:num>
  <w:num w:numId="21">
    <w:abstractNumId w:val="51"/>
  </w:num>
  <w:num w:numId="22">
    <w:abstractNumId w:val="17"/>
  </w:num>
  <w:num w:numId="23">
    <w:abstractNumId w:val="39"/>
  </w:num>
  <w:num w:numId="24">
    <w:abstractNumId w:val="7"/>
  </w:num>
  <w:num w:numId="25">
    <w:abstractNumId w:val="72"/>
  </w:num>
  <w:num w:numId="26">
    <w:abstractNumId w:val="0"/>
  </w:num>
  <w:num w:numId="27">
    <w:abstractNumId w:val="84"/>
  </w:num>
  <w:num w:numId="28">
    <w:abstractNumId w:val="4"/>
  </w:num>
  <w:num w:numId="29">
    <w:abstractNumId w:val="48"/>
  </w:num>
  <w:num w:numId="30">
    <w:abstractNumId w:val="64"/>
  </w:num>
  <w:num w:numId="31">
    <w:abstractNumId w:val="71"/>
  </w:num>
  <w:num w:numId="32">
    <w:abstractNumId w:val="85"/>
  </w:num>
  <w:num w:numId="33">
    <w:abstractNumId w:val="40"/>
  </w:num>
  <w:num w:numId="34">
    <w:abstractNumId w:val="1"/>
  </w:num>
  <w:num w:numId="35">
    <w:abstractNumId w:val="78"/>
  </w:num>
  <w:num w:numId="36">
    <w:abstractNumId w:val="24"/>
  </w:num>
  <w:num w:numId="37">
    <w:abstractNumId w:val="13"/>
  </w:num>
  <w:num w:numId="38">
    <w:abstractNumId w:val="79"/>
  </w:num>
  <w:num w:numId="39">
    <w:abstractNumId w:val="53"/>
  </w:num>
  <w:num w:numId="40">
    <w:abstractNumId w:val="19"/>
  </w:num>
  <w:num w:numId="41">
    <w:abstractNumId w:val="12"/>
  </w:num>
  <w:num w:numId="42">
    <w:abstractNumId w:val="76"/>
  </w:num>
  <w:num w:numId="43">
    <w:abstractNumId w:val="52"/>
  </w:num>
  <w:num w:numId="44">
    <w:abstractNumId w:val="44"/>
  </w:num>
  <w:num w:numId="45">
    <w:abstractNumId w:val="62"/>
  </w:num>
  <w:num w:numId="46">
    <w:abstractNumId w:val="27"/>
  </w:num>
  <w:num w:numId="47">
    <w:abstractNumId w:val="49"/>
  </w:num>
  <w:num w:numId="48">
    <w:abstractNumId w:val="9"/>
  </w:num>
  <w:num w:numId="49">
    <w:abstractNumId w:val="38"/>
  </w:num>
  <w:num w:numId="50">
    <w:abstractNumId w:val="29"/>
  </w:num>
  <w:num w:numId="51">
    <w:abstractNumId w:val="83"/>
  </w:num>
  <w:num w:numId="52">
    <w:abstractNumId w:val="5"/>
  </w:num>
  <w:num w:numId="53">
    <w:abstractNumId w:val="88"/>
  </w:num>
  <w:num w:numId="54">
    <w:abstractNumId w:val="28"/>
  </w:num>
  <w:num w:numId="55">
    <w:abstractNumId w:val="63"/>
  </w:num>
  <w:num w:numId="56">
    <w:abstractNumId w:val="14"/>
  </w:num>
  <w:num w:numId="57">
    <w:abstractNumId w:val="16"/>
  </w:num>
  <w:num w:numId="58">
    <w:abstractNumId w:val="67"/>
  </w:num>
  <w:num w:numId="59">
    <w:abstractNumId w:val="11"/>
  </w:num>
  <w:num w:numId="60">
    <w:abstractNumId w:val="56"/>
  </w:num>
  <w:num w:numId="61">
    <w:abstractNumId w:val="8"/>
  </w:num>
  <w:num w:numId="62">
    <w:abstractNumId w:val="47"/>
  </w:num>
  <w:num w:numId="63">
    <w:abstractNumId w:val="15"/>
  </w:num>
  <w:num w:numId="64">
    <w:abstractNumId w:val="57"/>
  </w:num>
  <w:num w:numId="65">
    <w:abstractNumId w:val="86"/>
  </w:num>
  <w:num w:numId="66">
    <w:abstractNumId w:val="18"/>
  </w:num>
  <w:num w:numId="67">
    <w:abstractNumId w:val="35"/>
  </w:num>
  <w:num w:numId="68">
    <w:abstractNumId w:val="58"/>
  </w:num>
  <w:num w:numId="69">
    <w:abstractNumId w:val="2"/>
  </w:num>
  <w:num w:numId="70">
    <w:abstractNumId w:val="70"/>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10"/>
  </w:num>
  <w:num w:numId="75">
    <w:abstractNumId w:val="60"/>
  </w:num>
  <w:num w:numId="76">
    <w:abstractNumId w:val="33"/>
  </w:num>
  <w:num w:numId="77">
    <w:abstractNumId w:val="45"/>
  </w:num>
  <w:num w:numId="78">
    <w:abstractNumId w:val="6"/>
  </w:num>
  <w:num w:numId="79">
    <w:abstractNumId w:val="73"/>
  </w:num>
  <w:num w:numId="80">
    <w:abstractNumId w:val="21"/>
  </w:num>
  <w:num w:numId="81">
    <w:abstractNumId w:val="23"/>
  </w:num>
  <w:num w:numId="82">
    <w:abstractNumId w:val="42"/>
  </w:num>
  <w:num w:numId="83">
    <w:abstractNumId w:val="74"/>
  </w:num>
  <w:num w:numId="84">
    <w:abstractNumId w:val="65"/>
  </w:num>
  <w:num w:numId="85">
    <w:abstractNumId w:val="77"/>
  </w:num>
  <w:num w:numId="86">
    <w:abstractNumId w:val="3"/>
  </w:num>
  <w:num w:numId="87">
    <w:abstractNumId w:val="25"/>
  </w:num>
  <w:num w:numId="88">
    <w:abstractNumId w:val="32"/>
  </w:num>
  <w:num w:numId="89">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556"/>
    <w:rsid w:val="00004E5F"/>
    <w:rsid w:val="00036C7D"/>
    <w:rsid w:val="0004376A"/>
    <w:rsid w:val="000518D1"/>
    <w:rsid w:val="0005243B"/>
    <w:rsid w:val="00052A9B"/>
    <w:rsid w:val="000702AD"/>
    <w:rsid w:val="00073D33"/>
    <w:rsid w:val="00086D7D"/>
    <w:rsid w:val="000A03BE"/>
    <w:rsid w:val="000A22A7"/>
    <w:rsid w:val="000A2AC2"/>
    <w:rsid w:val="000B1610"/>
    <w:rsid w:val="000E1CA6"/>
    <w:rsid w:val="000E3002"/>
    <w:rsid w:val="000E48C7"/>
    <w:rsid w:val="000F2717"/>
    <w:rsid w:val="000F2BCD"/>
    <w:rsid w:val="000F336C"/>
    <w:rsid w:val="000F491C"/>
    <w:rsid w:val="0010282B"/>
    <w:rsid w:val="00105AA6"/>
    <w:rsid w:val="00107534"/>
    <w:rsid w:val="00110D30"/>
    <w:rsid w:val="0011723A"/>
    <w:rsid w:val="00121FA2"/>
    <w:rsid w:val="001238CC"/>
    <w:rsid w:val="001436DE"/>
    <w:rsid w:val="0014503C"/>
    <w:rsid w:val="00146E07"/>
    <w:rsid w:val="001603D1"/>
    <w:rsid w:val="00163B3C"/>
    <w:rsid w:val="00166465"/>
    <w:rsid w:val="00182853"/>
    <w:rsid w:val="00182AEC"/>
    <w:rsid w:val="001A0315"/>
    <w:rsid w:val="001A0632"/>
    <w:rsid w:val="001A3F7B"/>
    <w:rsid w:val="001A4243"/>
    <w:rsid w:val="001C263C"/>
    <w:rsid w:val="001C7D10"/>
    <w:rsid w:val="001D2286"/>
    <w:rsid w:val="001D6C5B"/>
    <w:rsid w:val="001E3908"/>
    <w:rsid w:val="001F0499"/>
    <w:rsid w:val="001F0D22"/>
    <w:rsid w:val="002077AF"/>
    <w:rsid w:val="002416B8"/>
    <w:rsid w:val="00244584"/>
    <w:rsid w:val="002540A9"/>
    <w:rsid w:val="00261EFE"/>
    <w:rsid w:val="00270FA8"/>
    <w:rsid w:val="00277C19"/>
    <w:rsid w:val="00291604"/>
    <w:rsid w:val="00295454"/>
    <w:rsid w:val="002A1D32"/>
    <w:rsid w:val="002A6F8A"/>
    <w:rsid w:val="002B3BD1"/>
    <w:rsid w:val="002B6AB8"/>
    <w:rsid w:val="002C1963"/>
    <w:rsid w:val="002D0C43"/>
    <w:rsid w:val="002D51D1"/>
    <w:rsid w:val="002E1E8E"/>
    <w:rsid w:val="002E6480"/>
    <w:rsid w:val="002F103D"/>
    <w:rsid w:val="002F33B4"/>
    <w:rsid w:val="002F73A6"/>
    <w:rsid w:val="0030157C"/>
    <w:rsid w:val="003023B1"/>
    <w:rsid w:val="00314327"/>
    <w:rsid w:val="003151CB"/>
    <w:rsid w:val="00320B12"/>
    <w:rsid w:val="00323C69"/>
    <w:rsid w:val="00327D81"/>
    <w:rsid w:val="00334394"/>
    <w:rsid w:val="0033545D"/>
    <w:rsid w:val="00346780"/>
    <w:rsid w:val="003645DB"/>
    <w:rsid w:val="003662A3"/>
    <w:rsid w:val="00372BC1"/>
    <w:rsid w:val="0037662F"/>
    <w:rsid w:val="003816DC"/>
    <w:rsid w:val="0038314B"/>
    <w:rsid w:val="0039186B"/>
    <w:rsid w:val="0039316F"/>
    <w:rsid w:val="00394EE5"/>
    <w:rsid w:val="003A0F5B"/>
    <w:rsid w:val="003A15D0"/>
    <w:rsid w:val="003A5556"/>
    <w:rsid w:val="003A5B16"/>
    <w:rsid w:val="003B0E10"/>
    <w:rsid w:val="003B77FA"/>
    <w:rsid w:val="003C5CA4"/>
    <w:rsid w:val="003E001F"/>
    <w:rsid w:val="003E77BC"/>
    <w:rsid w:val="004042AC"/>
    <w:rsid w:val="0041034C"/>
    <w:rsid w:val="004125AF"/>
    <w:rsid w:val="00413E0E"/>
    <w:rsid w:val="00416207"/>
    <w:rsid w:val="00421B50"/>
    <w:rsid w:val="0042685B"/>
    <w:rsid w:val="00442A92"/>
    <w:rsid w:val="00442AF7"/>
    <w:rsid w:val="0044690D"/>
    <w:rsid w:val="00447CD8"/>
    <w:rsid w:val="0045320C"/>
    <w:rsid w:val="00457815"/>
    <w:rsid w:val="00460DFA"/>
    <w:rsid w:val="00461ADE"/>
    <w:rsid w:val="004632A9"/>
    <w:rsid w:val="00470929"/>
    <w:rsid w:val="00473ADA"/>
    <w:rsid w:val="0047553E"/>
    <w:rsid w:val="00477692"/>
    <w:rsid w:val="004845FC"/>
    <w:rsid w:val="00485D02"/>
    <w:rsid w:val="0049277D"/>
    <w:rsid w:val="004A4AE0"/>
    <w:rsid w:val="004B2662"/>
    <w:rsid w:val="004D1024"/>
    <w:rsid w:val="004D5051"/>
    <w:rsid w:val="004E3633"/>
    <w:rsid w:val="004E48D5"/>
    <w:rsid w:val="004E771F"/>
    <w:rsid w:val="004F1935"/>
    <w:rsid w:val="00506272"/>
    <w:rsid w:val="00526F44"/>
    <w:rsid w:val="00536428"/>
    <w:rsid w:val="00545ED4"/>
    <w:rsid w:val="00554F04"/>
    <w:rsid w:val="00572940"/>
    <w:rsid w:val="00572C29"/>
    <w:rsid w:val="00573463"/>
    <w:rsid w:val="00575D2C"/>
    <w:rsid w:val="00580B44"/>
    <w:rsid w:val="00582A7D"/>
    <w:rsid w:val="005838C1"/>
    <w:rsid w:val="005869E2"/>
    <w:rsid w:val="00590A74"/>
    <w:rsid w:val="00591A9F"/>
    <w:rsid w:val="0059498D"/>
    <w:rsid w:val="00596351"/>
    <w:rsid w:val="005A369B"/>
    <w:rsid w:val="005B56A8"/>
    <w:rsid w:val="005C418C"/>
    <w:rsid w:val="005C5268"/>
    <w:rsid w:val="005C637E"/>
    <w:rsid w:val="005C79A2"/>
    <w:rsid w:val="005D1DDA"/>
    <w:rsid w:val="005E2FFC"/>
    <w:rsid w:val="005E5D19"/>
    <w:rsid w:val="005F4AFF"/>
    <w:rsid w:val="0062330C"/>
    <w:rsid w:val="0063076C"/>
    <w:rsid w:val="006423D9"/>
    <w:rsid w:val="00650901"/>
    <w:rsid w:val="00654CA1"/>
    <w:rsid w:val="00657F25"/>
    <w:rsid w:val="006624D0"/>
    <w:rsid w:val="0066477B"/>
    <w:rsid w:val="0068115E"/>
    <w:rsid w:val="00681313"/>
    <w:rsid w:val="00697669"/>
    <w:rsid w:val="006A1D3D"/>
    <w:rsid w:val="006B0B68"/>
    <w:rsid w:val="006B1762"/>
    <w:rsid w:val="006B285B"/>
    <w:rsid w:val="006C7675"/>
    <w:rsid w:val="006D4C75"/>
    <w:rsid w:val="006D50C7"/>
    <w:rsid w:val="006E2B23"/>
    <w:rsid w:val="006F22D0"/>
    <w:rsid w:val="00703B39"/>
    <w:rsid w:val="00705176"/>
    <w:rsid w:val="00715132"/>
    <w:rsid w:val="00715829"/>
    <w:rsid w:val="007352AF"/>
    <w:rsid w:val="0074115B"/>
    <w:rsid w:val="00746ABF"/>
    <w:rsid w:val="00760736"/>
    <w:rsid w:val="00772CD0"/>
    <w:rsid w:val="007736AD"/>
    <w:rsid w:val="007746A3"/>
    <w:rsid w:val="00786398"/>
    <w:rsid w:val="007867A0"/>
    <w:rsid w:val="007A3059"/>
    <w:rsid w:val="007A32F9"/>
    <w:rsid w:val="007A7279"/>
    <w:rsid w:val="007C0F7D"/>
    <w:rsid w:val="007C34D2"/>
    <w:rsid w:val="007C3F45"/>
    <w:rsid w:val="007C5C42"/>
    <w:rsid w:val="007C61E1"/>
    <w:rsid w:val="007C7474"/>
    <w:rsid w:val="007D1A0E"/>
    <w:rsid w:val="007D28EE"/>
    <w:rsid w:val="007D31BC"/>
    <w:rsid w:val="007F0B6B"/>
    <w:rsid w:val="00815230"/>
    <w:rsid w:val="00820AB3"/>
    <w:rsid w:val="00831D8D"/>
    <w:rsid w:val="00832201"/>
    <w:rsid w:val="008327B5"/>
    <w:rsid w:val="00836301"/>
    <w:rsid w:val="00850F7E"/>
    <w:rsid w:val="00854FFB"/>
    <w:rsid w:val="00865D20"/>
    <w:rsid w:val="00881557"/>
    <w:rsid w:val="0088754C"/>
    <w:rsid w:val="00890969"/>
    <w:rsid w:val="0089306A"/>
    <w:rsid w:val="008938B4"/>
    <w:rsid w:val="0089425A"/>
    <w:rsid w:val="0089449A"/>
    <w:rsid w:val="008A5333"/>
    <w:rsid w:val="008B0C88"/>
    <w:rsid w:val="008B5A2D"/>
    <w:rsid w:val="008C027D"/>
    <w:rsid w:val="008C4E4B"/>
    <w:rsid w:val="008D1059"/>
    <w:rsid w:val="008E28DE"/>
    <w:rsid w:val="008E51E7"/>
    <w:rsid w:val="008E60E5"/>
    <w:rsid w:val="008F14EE"/>
    <w:rsid w:val="00901772"/>
    <w:rsid w:val="00901B63"/>
    <w:rsid w:val="00905E52"/>
    <w:rsid w:val="00906E08"/>
    <w:rsid w:val="00910D27"/>
    <w:rsid w:val="009135A4"/>
    <w:rsid w:val="00925850"/>
    <w:rsid w:val="00927483"/>
    <w:rsid w:val="0093704B"/>
    <w:rsid w:val="00937091"/>
    <w:rsid w:val="00937259"/>
    <w:rsid w:val="00944E61"/>
    <w:rsid w:val="009453BB"/>
    <w:rsid w:val="00950132"/>
    <w:rsid w:val="009511B5"/>
    <w:rsid w:val="00953900"/>
    <w:rsid w:val="0095534C"/>
    <w:rsid w:val="0095588C"/>
    <w:rsid w:val="009617EE"/>
    <w:rsid w:val="00964A10"/>
    <w:rsid w:val="0097748A"/>
    <w:rsid w:val="0098084B"/>
    <w:rsid w:val="009867C6"/>
    <w:rsid w:val="0099206C"/>
    <w:rsid w:val="009A1F8F"/>
    <w:rsid w:val="009A401B"/>
    <w:rsid w:val="009A4924"/>
    <w:rsid w:val="009C2241"/>
    <w:rsid w:val="009C63EC"/>
    <w:rsid w:val="009D7E62"/>
    <w:rsid w:val="009E02B9"/>
    <w:rsid w:val="009E07DE"/>
    <w:rsid w:val="009E3F81"/>
    <w:rsid w:val="009F3915"/>
    <w:rsid w:val="00A05A52"/>
    <w:rsid w:val="00A165E5"/>
    <w:rsid w:val="00A20508"/>
    <w:rsid w:val="00A221DE"/>
    <w:rsid w:val="00A269F9"/>
    <w:rsid w:val="00A3601D"/>
    <w:rsid w:val="00A364FA"/>
    <w:rsid w:val="00A37D0F"/>
    <w:rsid w:val="00A47F57"/>
    <w:rsid w:val="00A52EF3"/>
    <w:rsid w:val="00A54FB2"/>
    <w:rsid w:val="00A65BD4"/>
    <w:rsid w:val="00A65E91"/>
    <w:rsid w:val="00A66797"/>
    <w:rsid w:val="00A668B5"/>
    <w:rsid w:val="00A66D7E"/>
    <w:rsid w:val="00A70342"/>
    <w:rsid w:val="00A77E40"/>
    <w:rsid w:val="00A83E12"/>
    <w:rsid w:val="00A849E7"/>
    <w:rsid w:val="00AA4FA3"/>
    <w:rsid w:val="00AA5826"/>
    <w:rsid w:val="00AB04B1"/>
    <w:rsid w:val="00AB553E"/>
    <w:rsid w:val="00AD06FA"/>
    <w:rsid w:val="00AD550E"/>
    <w:rsid w:val="00AE756A"/>
    <w:rsid w:val="00AF3574"/>
    <w:rsid w:val="00B04E52"/>
    <w:rsid w:val="00B051DF"/>
    <w:rsid w:val="00B05C34"/>
    <w:rsid w:val="00B069B6"/>
    <w:rsid w:val="00B07DD5"/>
    <w:rsid w:val="00B07F8F"/>
    <w:rsid w:val="00B10477"/>
    <w:rsid w:val="00B12A2F"/>
    <w:rsid w:val="00B13799"/>
    <w:rsid w:val="00B13FEF"/>
    <w:rsid w:val="00B16981"/>
    <w:rsid w:val="00B23865"/>
    <w:rsid w:val="00B33CE3"/>
    <w:rsid w:val="00B34DD1"/>
    <w:rsid w:val="00B519C4"/>
    <w:rsid w:val="00B52B0D"/>
    <w:rsid w:val="00B60CB2"/>
    <w:rsid w:val="00B74969"/>
    <w:rsid w:val="00B81115"/>
    <w:rsid w:val="00B84535"/>
    <w:rsid w:val="00B97FCA"/>
    <w:rsid w:val="00BA4C99"/>
    <w:rsid w:val="00BB6E95"/>
    <w:rsid w:val="00BC2605"/>
    <w:rsid w:val="00BD6023"/>
    <w:rsid w:val="00BD7A3A"/>
    <w:rsid w:val="00BE1EBE"/>
    <w:rsid w:val="00BE68D9"/>
    <w:rsid w:val="00BE6D43"/>
    <w:rsid w:val="00BF0FEB"/>
    <w:rsid w:val="00BF3B15"/>
    <w:rsid w:val="00C06064"/>
    <w:rsid w:val="00C2590D"/>
    <w:rsid w:val="00C33506"/>
    <w:rsid w:val="00C33738"/>
    <w:rsid w:val="00C43778"/>
    <w:rsid w:val="00C449A4"/>
    <w:rsid w:val="00C510B3"/>
    <w:rsid w:val="00C55DD4"/>
    <w:rsid w:val="00C7020F"/>
    <w:rsid w:val="00C819EB"/>
    <w:rsid w:val="00C83C30"/>
    <w:rsid w:val="00C87C63"/>
    <w:rsid w:val="00C90AE3"/>
    <w:rsid w:val="00C93BFE"/>
    <w:rsid w:val="00CA154D"/>
    <w:rsid w:val="00CA2EFB"/>
    <w:rsid w:val="00CA6048"/>
    <w:rsid w:val="00CB3F99"/>
    <w:rsid w:val="00CB740A"/>
    <w:rsid w:val="00CC1740"/>
    <w:rsid w:val="00CC506F"/>
    <w:rsid w:val="00CC547F"/>
    <w:rsid w:val="00CC6878"/>
    <w:rsid w:val="00CC6A87"/>
    <w:rsid w:val="00CF0D9B"/>
    <w:rsid w:val="00D0027B"/>
    <w:rsid w:val="00D04530"/>
    <w:rsid w:val="00D0483E"/>
    <w:rsid w:val="00D0576D"/>
    <w:rsid w:val="00D07A2F"/>
    <w:rsid w:val="00D151B7"/>
    <w:rsid w:val="00D16B80"/>
    <w:rsid w:val="00D2228B"/>
    <w:rsid w:val="00D25BB4"/>
    <w:rsid w:val="00D30903"/>
    <w:rsid w:val="00D36587"/>
    <w:rsid w:val="00D47240"/>
    <w:rsid w:val="00D66BA9"/>
    <w:rsid w:val="00D85071"/>
    <w:rsid w:val="00D871E8"/>
    <w:rsid w:val="00D95130"/>
    <w:rsid w:val="00DA18AC"/>
    <w:rsid w:val="00DA2268"/>
    <w:rsid w:val="00DA6868"/>
    <w:rsid w:val="00DB16AC"/>
    <w:rsid w:val="00DB1FA4"/>
    <w:rsid w:val="00DB5B31"/>
    <w:rsid w:val="00DB62EA"/>
    <w:rsid w:val="00DC4C8E"/>
    <w:rsid w:val="00DD1F74"/>
    <w:rsid w:val="00DE0553"/>
    <w:rsid w:val="00DE1918"/>
    <w:rsid w:val="00DF6D6F"/>
    <w:rsid w:val="00E06E88"/>
    <w:rsid w:val="00E10E35"/>
    <w:rsid w:val="00E21859"/>
    <w:rsid w:val="00E271F4"/>
    <w:rsid w:val="00E36B13"/>
    <w:rsid w:val="00E379EA"/>
    <w:rsid w:val="00E45937"/>
    <w:rsid w:val="00E5481D"/>
    <w:rsid w:val="00E675C7"/>
    <w:rsid w:val="00E67F9A"/>
    <w:rsid w:val="00E73357"/>
    <w:rsid w:val="00E84CD4"/>
    <w:rsid w:val="00E87DB4"/>
    <w:rsid w:val="00E9020D"/>
    <w:rsid w:val="00E9506C"/>
    <w:rsid w:val="00E9507D"/>
    <w:rsid w:val="00EC1C63"/>
    <w:rsid w:val="00EC31C7"/>
    <w:rsid w:val="00EF3CCD"/>
    <w:rsid w:val="00EF41DE"/>
    <w:rsid w:val="00EF4DCB"/>
    <w:rsid w:val="00F0166C"/>
    <w:rsid w:val="00F1157A"/>
    <w:rsid w:val="00F12BAE"/>
    <w:rsid w:val="00F12E2A"/>
    <w:rsid w:val="00F24AD0"/>
    <w:rsid w:val="00F25FCA"/>
    <w:rsid w:val="00F3185C"/>
    <w:rsid w:val="00F32558"/>
    <w:rsid w:val="00F32CF2"/>
    <w:rsid w:val="00F339ED"/>
    <w:rsid w:val="00F3534F"/>
    <w:rsid w:val="00F45F14"/>
    <w:rsid w:val="00F47602"/>
    <w:rsid w:val="00F51863"/>
    <w:rsid w:val="00F57324"/>
    <w:rsid w:val="00F61B30"/>
    <w:rsid w:val="00F6566B"/>
    <w:rsid w:val="00F71625"/>
    <w:rsid w:val="00F7299A"/>
    <w:rsid w:val="00F81257"/>
    <w:rsid w:val="00F85CEF"/>
    <w:rsid w:val="00FA194F"/>
    <w:rsid w:val="00FA4767"/>
    <w:rsid w:val="00FB201C"/>
    <w:rsid w:val="00FB565C"/>
    <w:rsid w:val="00FE3680"/>
    <w:rsid w:val="00FF63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06FA"/>
  </w:style>
  <w:style w:type="paragraph" w:styleId="Nagwek1">
    <w:name w:val="heading 1"/>
    <w:basedOn w:val="Normalny"/>
    <w:next w:val="Normalny"/>
    <w:link w:val="Nagwek1Znak"/>
    <w:uiPriority w:val="9"/>
    <w:qFormat/>
    <w:rsid w:val="007C7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C74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4CA1"/>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654C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54C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A5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5556"/>
    <w:rPr>
      <w:rFonts w:ascii="Tahoma" w:hAnsi="Tahoma" w:cs="Tahoma"/>
      <w:sz w:val="16"/>
      <w:szCs w:val="16"/>
    </w:rPr>
  </w:style>
  <w:style w:type="character" w:customStyle="1" w:styleId="Nagwek1Znak">
    <w:name w:val="Nagłówek 1 Znak"/>
    <w:basedOn w:val="Domylnaczcionkaakapitu"/>
    <w:link w:val="Nagwek1"/>
    <w:uiPriority w:val="9"/>
    <w:rsid w:val="007C7474"/>
    <w:rPr>
      <w:rFonts w:asciiTheme="majorHAnsi" w:eastAsiaTheme="majorEastAsia" w:hAnsiTheme="majorHAnsi" w:cstheme="majorBidi"/>
      <w:b/>
      <w:bCs/>
      <w:color w:val="365F91" w:themeColor="accent1" w:themeShade="BF"/>
      <w:sz w:val="28"/>
      <w:szCs w:val="28"/>
    </w:rPr>
  </w:style>
  <w:style w:type="paragraph" w:styleId="Akapitzlist">
    <w:name w:val="List Paragraph"/>
    <w:basedOn w:val="Normalny"/>
    <w:link w:val="AkapitzlistZnak"/>
    <w:uiPriority w:val="34"/>
    <w:qFormat/>
    <w:rsid w:val="007C7474"/>
    <w:pPr>
      <w:ind w:left="720"/>
      <w:contextualSpacing/>
    </w:pPr>
  </w:style>
  <w:style w:type="character" w:customStyle="1" w:styleId="Nagwek2Znak">
    <w:name w:val="Nagłówek 2 Znak"/>
    <w:basedOn w:val="Domylnaczcionkaakapitu"/>
    <w:link w:val="Nagwek2"/>
    <w:uiPriority w:val="9"/>
    <w:rsid w:val="007C7474"/>
    <w:rPr>
      <w:rFonts w:asciiTheme="majorHAnsi" w:eastAsiaTheme="majorEastAsia" w:hAnsiTheme="majorHAnsi" w:cstheme="majorBidi"/>
      <w:b/>
      <w:bCs/>
      <w:color w:val="4F81BD" w:themeColor="accent1"/>
      <w:sz w:val="26"/>
      <w:szCs w:val="26"/>
    </w:rPr>
  </w:style>
  <w:style w:type="character" w:customStyle="1" w:styleId="AkapitzlistZnak">
    <w:name w:val="Akapit z listą Znak"/>
    <w:link w:val="Akapitzlist"/>
    <w:locked/>
    <w:rsid w:val="00E9507D"/>
  </w:style>
  <w:style w:type="paragraph" w:styleId="Tekstpodstawowywcity">
    <w:name w:val="Body Text Indent"/>
    <w:basedOn w:val="Normalny"/>
    <w:link w:val="TekstpodstawowywcityZnak"/>
    <w:unhideWhenUsed/>
    <w:rsid w:val="00CC6878"/>
    <w:pPr>
      <w:spacing w:after="0" w:line="360" w:lineRule="auto"/>
      <w:ind w:firstLine="540"/>
      <w:jc w:val="both"/>
    </w:pPr>
    <w:rPr>
      <w:rFonts w:ascii="Times New Roman" w:eastAsia="Switzerland"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CC6878"/>
    <w:rPr>
      <w:rFonts w:ascii="Times New Roman" w:eastAsia="Switzerland" w:hAnsi="Times New Roman" w:cs="Times New Roman"/>
      <w:sz w:val="24"/>
      <w:szCs w:val="24"/>
      <w:lang w:eastAsia="pl-PL"/>
    </w:rPr>
  </w:style>
  <w:style w:type="paragraph" w:customStyle="1" w:styleId="xl33">
    <w:name w:val="xl33"/>
    <w:basedOn w:val="Normalny"/>
    <w:rsid w:val="00CC6878"/>
    <w:pPr>
      <w:spacing w:before="100" w:beforeAutospacing="1" w:after="100" w:afterAutospacing="1" w:line="240" w:lineRule="auto"/>
    </w:pPr>
    <w:rPr>
      <w:rFonts w:ascii="Times New Roman" w:eastAsia="Times New Roman" w:hAnsi="Times New Roman" w:cs="Times New Roman"/>
      <w:sz w:val="28"/>
      <w:szCs w:val="28"/>
      <w:lang w:eastAsia="pl-PL"/>
    </w:rPr>
  </w:style>
  <w:style w:type="paragraph" w:styleId="Legenda">
    <w:name w:val="caption"/>
    <w:basedOn w:val="Normalny"/>
    <w:next w:val="Normalny"/>
    <w:uiPriority w:val="35"/>
    <w:unhideWhenUsed/>
    <w:qFormat/>
    <w:rsid w:val="00703B39"/>
    <w:pPr>
      <w:spacing w:line="240" w:lineRule="auto"/>
    </w:pPr>
    <w:rPr>
      <w:b/>
      <w:bCs/>
      <w:color w:val="4F81BD" w:themeColor="accent1"/>
      <w:sz w:val="18"/>
      <w:szCs w:val="18"/>
    </w:rPr>
  </w:style>
  <w:style w:type="table" w:styleId="Tabela-Siatka">
    <w:name w:val="Table Grid"/>
    <w:basedOn w:val="Standardowy"/>
    <w:uiPriority w:val="59"/>
    <w:rsid w:val="004845F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C0F7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asiatkaakcent11">
    <w:name w:val="Jasna siatka — akcent 11"/>
    <w:basedOn w:val="Standardowy"/>
    <w:uiPriority w:val="62"/>
    <w:rsid w:val="00F24A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ogrubienie">
    <w:name w:val="Strong"/>
    <w:basedOn w:val="Domylnaczcionkaakapitu"/>
    <w:uiPriority w:val="22"/>
    <w:qFormat/>
    <w:rsid w:val="00F24AD0"/>
    <w:rPr>
      <w:b/>
      <w:bCs/>
    </w:rPr>
  </w:style>
  <w:style w:type="character" w:styleId="Uwydatnienie">
    <w:name w:val="Emphasis"/>
    <w:basedOn w:val="Domylnaczcionkaakapitu"/>
    <w:uiPriority w:val="20"/>
    <w:qFormat/>
    <w:rsid w:val="00F24AD0"/>
    <w:rPr>
      <w:i/>
      <w:iCs/>
    </w:rPr>
  </w:style>
  <w:style w:type="table" w:customStyle="1" w:styleId="Jasnasiatkaakcent111">
    <w:name w:val="Jasna siatka — akcent 111"/>
    <w:basedOn w:val="Standardowy"/>
    <w:uiPriority w:val="62"/>
    <w:rsid w:val="006D4C7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12">
    <w:name w:val="Jasna siatka — akcent 112"/>
    <w:basedOn w:val="Standardowy"/>
    <w:uiPriority w:val="62"/>
    <w:rsid w:val="00BD7A3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agwekspisutreci">
    <w:name w:val="TOC Heading"/>
    <w:basedOn w:val="Nagwek1"/>
    <w:next w:val="Normalny"/>
    <w:uiPriority w:val="39"/>
    <w:semiHidden/>
    <w:unhideWhenUsed/>
    <w:qFormat/>
    <w:rsid w:val="00C83C30"/>
    <w:pPr>
      <w:outlineLvl w:val="9"/>
    </w:pPr>
    <w:rPr>
      <w:lang w:eastAsia="pl-PL"/>
    </w:rPr>
  </w:style>
  <w:style w:type="paragraph" w:styleId="Spistreci1">
    <w:name w:val="toc 1"/>
    <w:basedOn w:val="Normalny"/>
    <w:next w:val="Normalny"/>
    <w:autoRedefine/>
    <w:uiPriority w:val="39"/>
    <w:unhideWhenUsed/>
    <w:rsid w:val="00937091"/>
    <w:pPr>
      <w:tabs>
        <w:tab w:val="right" w:leader="dot" w:pos="9062"/>
      </w:tabs>
      <w:spacing w:after="100"/>
      <w:jc w:val="both"/>
    </w:pPr>
  </w:style>
  <w:style w:type="paragraph" w:styleId="Spistreci2">
    <w:name w:val="toc 2"/>
    <w:basedOn w:val="Normalny"/>
    <w:next w:val="Normalny"/>
    <w:autoRedefine/>
    <w:uiPriority w:val="39"/>
    <w:unhideWhenUsed/>
    <w:rsid w:val="00937091"/>
    <w:pPr>
      <w:tabs>
        <w:tab w:val="right" w:leader="dot" w:pos="9062"/>
      </w:tabs>
      <w:spacing w:after="100"/>
      <w:ind w:left="220"/>
      <w:jc w:val="both"/>
    </w:pPr>
  </w:style>
  <w:style w:type="character" w:styleId="Hipercze">
    <w:name w:val="Hyperlink"/>
    <w:basedOn w:val="Domylnaczcionkaakapitu"/>
    <w:uiPriority w:val="99"/>
    <w:unhideWhenUsed/>
    <w:rsid w:val="00C83C30"/>
    <w:rPr>
      <w:color w:val="0000FF" w:themeColor="hyperlink"/>
      <w:u w:val="single"/>
    </w:rPr>
  </w:style>
  <w:style w:type="character" w:customStyle="1" w:styleId="Teksttreci2Exact">
    <w:name w:val="Tekst treści (2) Exact"/>
    <w:basedOn w:val="Domylnaczcionkaakapitu"/>
    <w:rsid w:val="00964A10"/>
    <w:rPr>
      <w:rFonts w:ascii="Times New Roman" w:eastAsia="Times New Roman" w:hAnsi="Times New Roman" w:cs="Times New Roman"/>
      <w:b w:val="0"/>
      <w:bCs w:val="0"/>
      <w:i w:val="0"/>
      <w:iCs w:val="0"/>
      <w:caps w:val="0"/>
      <w:smallCaps w:val="0"/>
      <w:strike w:val="0"/>
      <w:dstrike w:val="0"/>
      <w:sz w:val="22"/>
      <w:szCs w:val="22"/>
      <w:u w:val="none"/>
    </w:rPr>
  </w:style>
  <w:style w:type="paragraph" w:customStyle="1" w:styleId="Default">
    <w:name w:val="Default"/>
    <w:rsid w:val="00964A1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a-Siatka1">
    <w:name w:val="Tabela - Siatka1"/>
    <w:basedOn w:val="Standardowy"/>
    <w:next w:val="Tabela-Siatka"/>
    <w:uiPriority w:val="59"/>
    <w:rsid w:val="00270FA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E368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Podpis"/>
    <w:rsid w:val="002B3BD1"/>
    <w:pPr>
      <w:suppressLineNumbers/>
      <w:spacing w:before="120" w:after="120" w:line="276" w:lineRule="auto"/>
      <w:ind w:left="0"/>
    </w:pPr>
    <w:rPr>
      <w:rFonts w:eastAsiaTheme="minorEastAsia" w:cs="Mangal"/>
      <w:i/>
      <w:iCs/>
      <w:sz w:val="24"/>
      <w:szCs w:val="24"/>
      <w:lang w:eastAsia="pl-PL"/>
    </w:rPr>
  </w:style>
  <w:style w:type="paragraph" w:styleId="Podpis">
    <w:name w:val="Signature"/>
    <w:basedOn w:val="Normalny"/>
    <w:link w:val="PodpisZnak"/>
    <w:uiPriority w:val="99"/>
    <w:semiHidden/>
    <w:unhideWhenUsed/>
    <w:rsid w:val="002B3BD1"/>
    <w:pPr>
      <w:spacing w:after="0" w:line="240" w:lineRule="auto"/>
      <w:ind w:left="4252"/>
    </w:pPr>
  </w:style>
  <w:style w:type="character" w:customStyle="1" w:styleId="PodpisZnak">
    <w:name w:val="Podpis Znak"/>
    <w:basedOn w:val="Domylnaczcionkaakapitu"/>
    <w:link w:val="Podpis"/>
    <w:uiPriority w:val="99"/>
    <w:semiHidden/>
    <w:rsid w:val="002B3BD1"/>
  </w:style>
  <w:style w:type="paragraph" w:styleId="Stopka">
    <w:name w:val="footer"/>
    <w:basedOn w:val="Normalny"/>
    <w:link w:val="StopkaZnak"/>
    <w:uiPriority w:val="99"/>
    <w:unhideWhenUsed/>
    <w:rsid w:val="003816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16DC"/>
  </w:style>
  <w:style w:type="paragraph" w:styleId="Nagwek">
    <w:name w:val="header"/>
    <w:basedOn w:val="Normalny"/>
    <w:link w:val="NagwekZnak"/>
    <w:uiPriority w:val="99"/>
    <w:unhideWhenUsed/>
    <w:rsid w:val="00004E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4E5F"/>
  </w:style>
  <w:style w:type="character" w:customStyle="1" w:styleId="apple-converted-space">
    <w:name w:val="apple-converted-space"/>
    <w:basedOn w:val="Domylnaczcionkaakapitu"/>
    <w:rsid w:val="00C87C63"/>
  </w:style>
  <w:style w:type="paragraph" w:styleId="Tekstprzypisukocowego">
    <w:name w:val="endnote text"/>
    <w:basedOn w:val="Normalny"/>
    <w:link w:val="TekstprzypisukocowegoZnak"/>
    <w:uiPriority w:val="99"/>
    <w:semiHidden/>
    <w:unhideWhenUsed/>
    <w:rsid w:val="000A03B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03BE"/>
    <w:rPr>
      <w:sz w:val="20"/>
      <w:szCs w:val="20"/>
    </w:rPr>
  </w:style>
  <w:style w:type="character" w:styleId="Odwoanieprzypisukocowego">
    <w:name w:val="endnote reference"/>
    <w:basedOn w:val="Domylnaczcionkaakapitu"/>
    <w:uiPriority w:val="99"/>
    <w:semiHidden/>
    <w:unhideWhenUsed/>
    <w:rsid w:val="000A03BE"/>
    <w:rPr>
      <w:vertAlign w:val="superscript"/>
    </w:rPr>
  </w:style>
  <w:style w:type="character" w:customStyle="1" w:styleId="Nagwek3Znak">
    <w:name w:val="Nagłówek 3 Znak"/>
    <w:basedOn w:val="Domylnaczcionkaakapitu"/>
    <w:link w:val="Nagwek3"/>
    <w:uiPriority w:val="9"/>
    <w:rsid w:val="00654CA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654CA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654CA1"/>
    <w:rPr>
      <w:rFonts w:asciiTheme="majorHAnsi" w:eastAsiaTheme="majorEastAsia" w:hAnsiTheme="majorHAnsi" w:cstheme="majorBidi"/>
      <w:color w:val="243F60" w:themeColor="accent1" w:themeShade="7F"/>
    </w:rPr>
  </w:style>
  <w:style w:type="paragraph" w:styleId="Bezodstpw">
    <w:name w:val="No Spacing"/>
    <w:uiPriority w:val="1"/>
    <w:qFormat/>
    <w:rsid w:val="00654CA1"/>
    <w:pPr>
      <w:spacing w:after="0" w:line="240" w:lineRule="auto"/>
    </w:pPr>
  </w:style>
  <w:style w:type="paragraph" w:styleId="Tekstprzypisudolnego">
    <w:name w:val="footnote text"/>
    <w:basedOn w:val="Normalny"/>
    <w:link w:val="TekstprzypisudolnegoZnak"/>
    <w:uiPriority w:val="99"/>
    <w:semiHidden/>
    <w:unhideWhenUsed/>
    <w:rsid w:val="00CA604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A6048"/>
    <w:rPr>
      <w:sz w:val="20"/>
      <w:szCs w:val="20"/>
    </w:rPr>
  </w:style>
  <w:style w:type="character" w:styleId="Odwoanieprzypisudolnego">
    <w:name w:val="footnote reference"/>
    <w:basedOn w:val="Domylnaczcionkaakapitu"/>
    <w:uiPriority w:val="99"/>
    <w:semiHidden/>
    <w:unhideWhenUsed/>
    <w:rsid w:val="00CA6048"/>
    <w:rPr>
      <w:vertAlign w:val="superscript"/>
    </w:rPr>
  </w:style>
  <w:style w:type="paragraph" w:styleId="Spistreci3">
    <w:name w:val="toc 3"/>
    <w:basedOn w:val="Normalny"/>
    <w:next w:val="Normalny"/>
    <w:autoRedefine/>
    <w:uiPriority w:val="39"/>
    <w:unhideWhenUsed/>
    <w:rsid w:val="00E9506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1159">
      <w:bodyDiv w:val="1"/>
      <w:marLeft w:val="0"/>
      <w:marRight w:val="0"/>
      <w:marTop w:val="0"/>
      <w:marBottom w:val="0"/>
      <w:divBdr>
        <w:top w:val="none" w:sz="0" w:space="0" w:color="auto"/>
        <w:left w:val="none" w:sz="0" w:space="0" w:color="auto"/>
        <w:bottom w:val="none" w:sz="0" w:space="0" w:color="auto"/>
        <w:right w:val="none" w:sz="0" w:space="0" w:color="auto"/>
      </w:divBdr>
    </w:div>
    <w:div w:id="237060167">
      <w:bodyDiv w:val="1"/>
      <w:marLeft w:val="0"/>
      <w:marRight w:val="0"/>
      <w:marTop w:val="0"/>
      <w:marBottom w:val="0"/>
      <w:divBdr>
        <w:top w:val="none" w:sz="0" w:space="0" w:color="auto"/>
        <w:left w:val="none" w:sz="0" w:space="0" w:color="auto"/>
        <w:bottom w:val="none" w:sz="0" w:space="0" w:color="auto"/>
        <w:right w:val="none" w:sz="0" w:space="0" w:color="auto"/>
      </w:divBdr>
    </w:div>
    <w:div w:id="250742981">
      <w:bodyDiv w:val="1"/>
      <w:marLeft w:val="0"/>
      <w:marRight w:val="0"/>
      <w:marTop w:val="0"/>
      <w:marBottom w:val="0"/>
      <w:divBdr>
        <w:top w:val="none" w:sz="0" w:space="0" w:color="auto"/>
        <w:left w:val="none" w:sz="0" w:space="0" w:color="auto"/>
        <w:bottom w:val="none" w:sz="0" w:space="0" w:color="auto"/>
        <w:right w:val="none" w:sz="0" w:space="0" w:color="auto"/>
      </w:divBdr>
    </w:div>
    <w:div w:id="432821971">
      <w:bodyDiv w:val="1"/>
      <w:marLeft w:val="0"/>
      <w:marRight w:val="0"/>
      <w:marTop w:val="0"/>
      <w:marBottom w:val="0"/>
      <w:divBdr>
        <w:top w:val="none" w:sz="0" w:space="0" w:color="auto"/>
        <w:left w:val="none" w:sz="0" w:space="0" w:color="auto"/>
        <w:bottom w:val="none" w:sz="0" w:space="0" w:color="auto"/>
        <w:right w:val="none" w:sz="0" w:space="0" w:color="auto"/>
      </w:divBdr>
    </w:div>
    <w:div w:id="633022992">
      <w:bodyDiv w:val="1"/>
      <w:marLeft w:val="0"/>
      <w:marRight w:val="0"/>
      <w:marTop w:val="0"/>
      <w:marBottom w:val="0"/>
      <w:divBdr>
        <w:top w:val="none" w:sz="0" w:space="0" w:color="auto"/>
        <w:left w:val="none" w:sz="0" w:space="0" w:color="auto"/>
        <w:bottom w:val="none" w:sz="0" w:space="0" w:color="auto"/>
        <w:right w:val="none" w:sz="0" w:space="0" w:color="auto"/>
      </w:divBdr>
    </w:div>
    <w:div w:id="668757156">
      <w:bodyDiv w:val="1"/>
      <w:marLeft w:val="0"/>
      <w:marRight w:val="0"/>
      <w:marTop w:val="0"/>
      <w:marBottom w:val="0"/>
      <w:divBdr>
        <w:top w:val="none" w:sz="0" w:space="0" w:color="auto"/>
        <w:left w:val="none" w:sz="0" w:space="0" w:color="auto"/>
        <w:bottom w:val="none" w:sz="0" w:space="0" w:color="auto"/>
        <w:right w:val="none" w:sz="0" w:space="0" w:color="auto"/>
      </w:divBdr>
    </w:div>
    <w:div w:id="745765608">
      <w:bodyDiv w:val="1"/>
      <w:marLeft w:val="0"/>
      <w:marRight w:val="0"/>
      <w:marTop w:val="0"/>
      <w:marBottom w:val="0"/>
      <w:divBdr>
        <w:top w:val="none" w:sz="0" w:space="0" w:color="auto"/>
        <w:left w:val="none" w:sz="0" w:space="0" w:color="auto"/>
        <w:bottom w:val="none" w:sz="0" w:space="0" w:color="auto"/>
        <w:right w:val="none" w:sz="0" w:space="0" w:color="auto"/>
      </w:divBdr>
    </w:div>
    <w:div w:id="838815811">
      <w:bodyDiv w:val="1"/>
      <w:marLeft w:val="0"/>
      <w:marRight w:val="0"/>
      <w:marTop w:val="0"/>
      <w:marBottom w:val="0"/>
      <w:divBdr>
        <w:top w:val="none" w:sz="0" w:space="0" w:color="auto"/>
        <w:left w:val="none" w:sz="0" w:space="0" w:color="auto"/>
        <w:bottom w:val="none" w:sz="0" w:space="0" w:color="auto"/>
        <w:right w:val="none" w:sz="0" w:space="0" w:color="auto"/>
      </w:divBdr>
    </w:div>
    <w:div w:id="857038964">
      <w:bodyDiv w:val="1"/>
      <w:marLeft w:val="0"/>
      <w:marRight w:val="0"/>
      <w:marTop w:val="0"/>
      <w:marBottom w:val="0"/>
      <w:divBdr>
        <w:top w:val="none" w:sz="0" w:space="0" w:color="auto"/>
        <w:left w:val="none" w:sz="0" w:space="0" w:color="auto"/>
        <w:bottom w:val="none" w:sz="0" w:space="0" w:color="auto"/>
        <w:right w:val="none" w:sz="0" w:space="0" w:color="auto"/>
      </w:divBdr>
    </w:div>
    <w:div w:id="983506898">
      <w:bodyDiv w:val="1"/>
      <w:marLeft w:val="0"/>
      <w:marRight w:val="0"/>
      <w:marTop w:val="0"/>
      <w:marBottom w:val="0"/>
      <w:divBdr>
        <w:top w:val="none" w:sz="0" w:space="0" w:color="auto"/>
        <w:left w:val="none" w:sz="0" w:space="0" w:color="auto"/>
        <w:bottom w:val="none" w:sz="0" w:space="0" w:color="auto"/>
        <w:right w:val="none" w:sz="0" w:space="0" w:color="auto"/>
      </w:divBdr>
    </w:div>
    <w:div w:id="1004210286">
      <w:bodyDiv w:val="1"/>
      <w:marLeft w:val="0"/>
      <w:marRight w:val="0"/>
      <w:marTop w:val="0"/>
      <w:marBottom w:val="0"/>
      <w:divBdr>
        <w:top w:val="none" w:sz="0" w:space="0" w:color="auto"/>
        <w:left w:val="none" w:sz="0" w:space="0" w:color="auto"/>
        <w:bottom w:val="none" w:sz="0" w:space="0" w:color="auto"/>
        <w:right w:val="none" w:sz="0" w:space="0" w:color="auto"/>
      </w:divBdr>
    </w:div>
    <w:div w:id="1008140619">
      <w:bodyDiv w:val="1"/>
      <w:marLeft w:val="0"/>
      <w:marRight w:val="0"/>
      <w:marTop w:val="0"/>
      <w:marBottom w:val="0"/>
      <w:divBdr>
        <w:top w:val="none" w:sz="0" w:space="0" w:color="auto"/>
        <w:left w:val="none" w:sz="0" w:space="0" w:color="auto"/>
        <w:bottom w:val="none" w:sz="0" w:space="0" w:color="auto"/>
        <w:right w:val="none" w:sz="0" w:space="0" w:color="auto"/>
      </w:divBdr>
    </w:div>
    <w:div w:id="1227186415">
      <w:bodyDiv w:val="1"/>
      <w:marLeft w:val="0"/>
      <w:marRight w:val="0"/>
      <w:marTop w:val="0"/>
      <w:marBottom w:val="0"/>
      <w:divBdr>
        <w:top w:val="none" w:sz="0" w:space="0" w:color="auto"/>
        <w:left w:val="none" w:sz="0" w:space="0" w:color="auto"/>
        <w:bottom w:val="none" w:sz="0" w:space="0" w:color="auto"/>
        <w:right w:val="none" w:sz="0" w:space="0" w:color="auto"/>
      </w:divBdr>
      <w:divsChild>
        <w:div w:id="1312370109">
          <w:blockQuote w:val="1"/>
          <w:marLeft w:val="0"/>
          <w:marRight w:val="720"/>
          <w:marTop w:val="100"/>
          <w:marBottom w:val="100"/>
          <w:divBdr>
            <w:top w:val="none" w:sz="0" w:space="0" w:color="auto"/>
            <w:left w:val="single" w:sz="6" w:space="8" w:color="0000FF"/>
            <w:bottom w:val="none" w:sz="0" w:space="0" w:color="auto"/>
            <w:right w:val="none" w:sz="0" w:space="0" w:color="auto"/>
          </w:divBdr>
        </w:div>
      </w:divsChild>
    </w:div>
    <w:div w:id="1269702393">
      <w:bodyDiv w:val="1"/>
      <w:marLeft w:val="0"/>
      <w:marRight w:val="0"/>
      <w:marTop w:val="0"/>
      <w:marBottom w:val="0"/>
      <w:divBdr>
        <w:top w:val="none" w:sz="0" w:space="0" w:color="auto"/>
        <w:left w:val="none" w:sz="0" w:space="0" w:color="auto"/>
        <w:bottom w:val="none" w:sz="0" w:space="0" w:color="auto"/>
        <w:right w:val="none" w:sz="0" w:space="0" w:color="auto"/>
      </w:divBdr>
    </w:div>
    <w:div w:id="1373460501">
      <w:bodyDiv w:val="1"/>
      <w:marLeft w:val="0"/>
      <w:marRight w:val="0"/>
      <w:marTop w:val="0"/>
      <w:marBottom w:val="0"/>
      <w:divBdr>
        <w:top w:val="none" w:sz="0" w:space="0" w:color="auto"/>
        <w:left w:val="none" w:sz="0" w:space="0" w:color="auto"/>
        <w:bottom w:val="none" w:sz="0" w:space="0" w:color="auto"/>
        <w:right w:val="none" w:sz="0" w:space="0" w:color="auto"/>
      </w:divBdr>
    </w:div>
    <w:div w:id="1559854830">
      <w:bodyDiv w:val="1"/>
      <w:marLeft w:val="0"/>
      <w:marRight w:val="0"/>
      <w:marTop w:val="0"/>
      <w:marBottom w:val="0"/>
      <w:divBdr>
        <w:top w:val="none" w:sz="0" w:space="0" w:color="auto"/>
        <w:left w:val="none" w:sz="0" w:space="0" w:color="auto"/>
        <w:bottom w:val="none" w:sz="0" w:space="0" w:color="auto"/>
        <w:right w:val="none" w:sz="0" w:space="0" w:color="auto"/>
      </w:divBdr>
    </w:div>
    <w:div w:id="1670719035">
      <w:bodyDiv w:val="1"/>
      <w:marLeft w:val="0"/>
      <w:marRight w:val="0"/>
      <w:marTop w:val="0"/>
      <w:marBottom w:val="0"/>
      <w:divBdr>
        <w:top w:val="none" w:sz="0" w:space="0" w:color="auto"/>
        <w:left w:val="none" w:sz="0" w:space="0" w:color="auto"/>
        <w:bottom w:val="none" w:sz="0" w:space="0" w:color="auto"/>
        <w:right w:val="none" w:sz="0" w:space="0" w:color="auto"/>
      </w:divBdr>
    </w:div>
    <w:div w:id="1743259141">
      <w:bodyDiv w:val="1"/>
      <w:marLeft w:val="0"/>
      <w:marRight w:val="0"/>
      <w:marTop w:val="0"/>
      <w:marBottom w:val="0"/>
      <w:divBdr>
        <w:top w:val="none" w:sz="0" w:space="0" w:color="auto"/>
        <w:left w:val="none" w:sz="0" w:space="0" w:color="auto"/>
        <w:bottom w:val="none" w:sz="0" w:space="0" w:color="auto"/>
        <w:right w:val="none" w:sz="0" w:space="0" w:color="auto"/>
      </w:divBdr>
    </w:div>
    <w:div w:id="1838423440">
      <w:bodyDiv w:val="1"/>
      <w:marLeft w:val="0"/>
      <w:marRight w:val="0"/>
      <w:marTop w:val="0"/>
      <w:marBottom w:val="0"/>
      <w:divBdr>
        <w:top w:val="none" w:sz="0" w:space="0" w:color="auto"/>
        <w:left w:val="none" w:sz="0" w:space="0" w:color="auto"/>
        <w:bottom w:val="none" w:sz="0" w:space="0" w:color="auto"/>
        <w:right w:val="none" w:sz="0" w:space="0" w:color="auto"/>
      </w:divBdr>
    </w:div>
    <w:div w:id="1898010077">
      <w:bodyDiv w:val="1"/>
      <w:marLeft w:val="0"/>
      <w:marRight w:val="0"/>
      <w:marTop w:val="0"/>
      <w:marBottom w:val="0"/>
      <w:divBdr>
        <w:top w:val="none" w:sz="0" w:space="0" w:color="auto"/>
        <w:left w:val="none" w:sz="0" w:space="0" w:color="auto"/>
        <w:bottom w:val="none" w:sz="0" w:space="0" w:color="auto"/>
        <w:right w:val="none" w:sz="0" w:space="0" w:color="auto"/>
      </w:divBdr>
    </w:div>
    <w:div w:id="207168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KL\Pulpit\PLAN%20GOSPODARKI%20NISKOEMISYJNEJ_BRODY_28.12.2016%20(1).docx" TargetMode="Externa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5.xml"/><Relationship Id="rId42" Type="http://schemas.openxmlformats.org/officeDocument/2006/relationships/footer" Target="footer1.xml"/><Relationship Id="rId47" Type="http://schemas.openxmlformats.org/officeDocument/2006/relationships/diagramQuickStyle" Target="diagrams/quickStyle1.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chart" Target="charts/chart10.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diagramData" Target="diagrams/data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12.xml"/><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eader" Target="header3.xml"/><Relationship Id="rId48"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_Mieszka&#324;cy_Brody.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przedsi&#281;biorstwa%20Brod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przedsi&#281;biorstwa%20Brod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us&#322;ugi%20Brod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us&#322;ugi%20Brod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eso&#322;ych%20&#346;wi&#261;t\Downloads\Podsumowanie_Ka&#324;czuga_proj.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eso&#322;ych%20&#346;wi&#261;t\Downloads\Podsumowanie_Ka&#324;czuga_proj.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eso&#322;ych%20&#346;wi&#261;t\Downloads\Podsumowanie_Ka&#324;czuga_proj.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eso&#322;ych%20&#346;wi&#261;t\Downloads\Podsumowanie_Ka&#324;czuga_proj.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_Mieszka&#324;cy_Brod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_Mieszka&#324;cy_Brody.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_Mieszka&#324;cy_Brod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oem\Pulpit\BRODY\ankiety\Ankieta_Mieszka&#324;cy_Brod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oem\Pulpit\BRODY\ankiety\Ankieta_Mieszka&#324;cy_Brody.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eso&#322;ych%20&#346;wi&#261;t\Downloads\ankieta%20-%20ob.%20u&#380;yteczno&#347;ci%20publicznej%20Bro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eso&#322;ych%20&#346;wi&#261;t\Downloads\ankieta%20-%20ob.%20u&#380;yteczno&#347;ci%20publicznej%20Bro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obiekty%20sakralne%20Brod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20-%20obiekty%20sakralne%20Brod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oem\Pulpit\BRODY\ankiety\ankiety%20inwentaryzacja\Ankieta_Mieszka&#324;cy_Brod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pl-PL"/>
              <a:t>Liczba ludności</a:t>
            </a:r>
            <a:r>
              <a:rPr lang="pl-PL" baseline="0"/>
              <a:t> w Gminie Brody </a:t>
            </a:r>
            <a:br>
              <a:rPr lang="pl-PL" baseline="0"/>
            </a:br>
            <a:r>
              <a:rPr lang="pl-PL" baseline="0"/>
              <a:t>w latach 2011 - 2015</a:t>
            </a:r>
            <a:endParaRPr lang="pl-PL"/>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Arkusz1!$C$2:$G$2</c:f>
              <c:strCache>
                <c:ptCount val="5"/>
                <c:pt idx="0">
                  <c:v>2011 r.</c:v>
                </c:pt>
                <c:pt idx="1">
                  <c:v>2012 r.</c:v>
                </c:pt>
                <c:pt idx="2">
                  <c:v>2013 r.</c:v>
                </c:pt>
                <c:pt idx="3">
                  <c:v>2014 r.</c:v>
                </c:pt>
                <c:pt idx="4">
                  <c:v>2015 r.</c:v>
                </c:pt>
              </c:strCache>
            </c:strRef>
          </c:cat>
          <c:val>
            <c:numRef>
              <c:f>Arkusz1!$C$18:$G$18</c:f>
              <c:numCache>
                <c:formatCode>General</c:formatCode>
                <c:ptCount val="5"/>
                <c:pt idx="0">
                  <c:v>11076</c:v>
                </c:pt>
                <c:pt idx="1">
                  <c:v>11113</c:v>
                </c:pt>
                <c:pt idx="2">
                  <c:v>11099</c:v>
                </c:pt>
                <c:pt idx="3">
                  <c:v>11032</c:v>
                </c:pt>
                <c:pt idx="4">
                  <c:v>10968</c:v>
                </c:pt>
              </c:numCache>
            </c:numRef>
          </c:val>
        </c:ser>
        <c:dLbls>
          <c:showLegendKey val="0"/>
          <c:showVal val="0"/>
          <c:showCatName val="0"/>
          <c:showSerName val="0"/>
          <c:showPercent val="0"/>
          <c:showBubbleSize val="0"/>
        </c:dLbls>
        <c:gapWidth val="150"/>
        <c:shape val="box"/>
        <c:axId val="170194816"/>
        <c:axId val="170196352"/>
        <c:axId val="0"/>
      </c:bar3DChart>
      <c:catAx>
        <c:axId val="170194816"/>
        <c:scaling>
          <c:orientation val="minMax"/>
        </c:scaling>
        <c:delete val="0"/>
        <c:axPos val="b"/>
        <c:numFmt formatCode="General" sourceLinked="0"/>
        <c:majorTickMark val="none"/>
        <c:minorTickMark val="none"/>
        <c:tickLblPos val="nextTo"/>
        <c:txPr>
          <a:bodyPr/>
          <a:lstStyle/>
          <a:p>
            <a:pPr>
              <a:defRPr sz="1100" b="1"/>
            </a:pPr>
            <a:endParaRPr lang="pl-PL"/>
          </a:p>
        </c:txPr>
        <c:crossAx val="170196352"/>
        <c:crosses val="autoZero"/>
        <c:auto val="1"/>
        <c:lblAlgn val="ctr"/>
        <c:lblOffset val="100"/>
        <c:noMultiLvlLbl val="0"/>
      </c:catAx>
      <c:valAx>
        <c:axId val="170196352"/>
        <c:scaling>
          <c:orientation val="minMax"/>
        </c:scaling>
        <c:delete val="0"/>
        <c:axPos val="l"/>
        <c:majorGridlines/>
        <c:numFmt formatCode="General" sourceLinked="1"/>
        <c:majorTickMark val="out"/>
        <c:minorTickMark val="none"/>
        <c:tickLblPos val="nextTo"/>
        <c:txPr>
          <a:bodyPr/>
          <a:lstStyle/>
          <a:p>
            <a:pPr>
              <a:defRPr sz="1100" b="1"/>
            </a:pPr>
            <a:endParaRPr lang="pl-PL"/>
          </a:p>
        </c:txPr>
        <c:crossAx val="1701948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a:t>Emisja CO</a:t>
            </a:r>
            <a:r>
              <a:rPr lang="pl-PL" sz="1800" b="1" baseline="-25000"/>
              <a:t>2</a:t>
            </a:r>
            <a:r>
              <a:rPr lang="pl-PL" sz="1800" b="1"/>
              <a:t> przez transport w podziale na nośniki</a:t>
            </a:r>
            <a:r>
              <a:rPr lang="pl-PL" sz="1800" b="1" baseline="0"/>
              <a:t> energii</a:t>
            </a:r>
            <a:endParaRPr lang="pl-PL" sz="1800" b="1"/>
          </a:p>
        </c:rich>
      </c:tx>
      <c:overlay val="0"/>
    </c:title>
    <c:autoTitleDeleted val="0"/>
    <c:view3D>
      <c:rotX val="30"/>
      <c:rotY val="40"/>
      <c:rAngAx val="0"/>
      <c:perspective val="30"/>
    </c:view3D>
    <c:floor>
      <c:thickness val="0"/>
    </c:floor>
    <c:sideWall>
      <c:thickness val="0"/>
    </c:sideWall>
    <c:backWall>
      <c:thickness val="0"/>
    </c:backWall>
    <c:plotArea>
      <c:layout>
        <c:manualLayout>
          <c:layoutTarget val="inner"/>
          <c:xMode val="edge"/>
          <c:yMode val="edge"/>
          <c:x val="7.5240531065003738E-2"/>
          <c:y val="0.33022892006049215"/>
          <c:w val="0.66894170163036615"/>
          <c:h val="0.61237618175346231"/>
        </c:manualLayout>
      </c:layout>
      <c:pie3DChart>
        <c:varyColors val="1"/>
        <c:ser>
          <c:idx val="0"/>
          <c:order val="0"/>
          <c:tx>
            <c:strRef>
              <c:f>'[Ankieta_Mieszkańcy_Brody.xls]emisja CO2'!$C$38</c:f>
              <c:strCache>
                <c:ptCount val="1"/>
                <c:pt idx="0">
                  <c:v>Emisja CO2 [Mg CO2]</c:v>
                </c:pt>
              </c:strCache>
            </c:strRef>
          </c:tx>
          <c:explosion val="25"/>
          <c:dLbls>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'[Ankieta_Mieszkańcy_Brody.xls]emisja CO2'!$A$39:$A$41</c:f>
              <c:strCache>
                <c:ptCount val="3"/>
                <c:pt idx="0">
                  <c:v>benzyna </c:v>
                </c:pt>
                <c:pt idx="1">
                  <c:v>olej napędowy </c:v>
                </c:pt>
                <c:pt idx="2">
                  <c:v>LPG</c:v>
                </c:pt>
              </c:strCache>
            </c:strRef>
          </c:cat>
          <c:val>
            <c:numRef>
              <c:f>'[Ankieta_Mieszkańcy_Brody.xls]emisja CO2'!$C$39:$C$41</c:f>
              <c:numCache>
                <c:formatCode>0.00</c:formatCode>
                <c:ptCount val="3"/>
                <c:pt idx="0">
                  <c:v>1245.6641033797748</c:v>
                </c:pt>
                <c:pt idx="1">
                  <c:v>392.02909856190894</c:v>
                </c:pt>
                <c:pt idx="2">
                  <c:v>424.68581496345172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346169320075863"/>
          <c:y val="0.39988887827831276"/>
          <c:w val="0.20977431653160233"/>
          <c:h val="0.37036206566894747"/>
        </c:manualLayout>
      </c:layout>
      <c:overlay val="0"/>
      <c:txPr>
        <a:bodyPr/>
        <a:lstStyle/>
        <a:p>
          <a:pPr>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przez budynki przedsiębiorstw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10"/>
      <c:rAngAx val="0"/>
      <c:perspective val="30"/>
    </c:view3D>
    <c:floor>
      <c:thickness val="0"/>
    </c:floor>
    <c:sideWall>
      <c:thickness val="0"/>
    </c:sideWall>
    <c:backWall>
      <c:thickness val="0"/>
    </c:backWall>
    <c:plotArea>
      <c:layout>
        <c:manualLayout>
          <c:layoutTarget val="inner"/>
          <c:xMode val="edge"/>
          <c:yMode val="edge"/>
          <c:x val="0"/>
          <c:y val="0.24861277157109418"/>
          <c:w val="0.78238554852511266"/>
          <c:h val="0.65931420272022989"/>
        </c:manualLayout>
      </c:layout>
      <c:pie3DChart>
        <c:varyColors val="1"/>
        <c:ser>
          <c:idx val="0"/>
          <c:order val="0"/>
          <c:explosion val="12"/>
          <c:dPt>
            <c:idx val="0"/>
            <c:bubble3D val="0"/>
            <c:explosion val="15"/>
          </c:dPt>
          <c:dLbls>
            <c:numFmt formatCode="0%" sourceLinked="0"/>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CO2'!$A$22;'emisja CO2'!$A$27)</c:f>
              <c:strCache>
                <c:ptCount val="2"/>
                <c:pt idx="0">
                  <c:v>drewno</c:v>
                </c:pt>
                <c:pt idx="1">
                  <c:v>energia elektryczna</c:v>
                </c:pt>
              </c:strCache>
            </c:strRef>
          </c:cat>
          <c:val>
            <c:numRef>
              <c:f>('emisja CO2'!$B$22;'emisja CO2'!$B$27)</c:f>
              <c:numCache>
                <c:formatCode>0.00</c:formatCode>
                <c:ptCount val="2"/>
                <c:pt idx="0">
                  <c:v>1415.6999999999998</c:v>
                </c:pt>
                <c:pt idx="1">
                  <c:v>252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3791136116547662"/>
          <c:y val="0.54598292007699556"/>
          <c:w val="0.24804956402019387"/>
          <c:h val="0.17787284241503643"/>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przez budynki przedsiębiortw </a:t>
            </a:r>
            <a:br>
              <a:rPr lang="pl-PL" sz="1800" b="1" i="0" baseline="0"/>
            </a:br>
            <a:r>
              <a:rPr lang="pl-PL" sz="1800" b="1" i="0" baseline="0"/>
              <a:t>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30"/>
      <c:rAngAx val="0"/>
      <c:perspective val="30"/>
    </c:view3D>
    <c:floor>
      <c:thickness val="0"/>
    </c:floor>
    <c:sideWall>
      <c:thickness val="0"/>
    </c:sideWall>
    <c:backWall>
      <c:thickness val="0"/>
    </c:backWall>
    <c:plotArea>
      <c:layout>
        <c:manualLayout>
          <c:layoutTarget val="inner"/>
          <c:xMode val="edge"/>
          <c:yMode val="edge"/>
          <c:x val="1.1675832344489304E-3"/>
          <c:y val="0.2724232852754549"/>
          <c:w val="0.73054074345358655"/>
          <c:h val="0.6296957125883661"/>
        </c:manualLayout>
      </c:layout>
      <c:pie3DChart>
        <c:varyColors val="1"/>
        <c:ser>
          <c:idx val="0"/>
          <c:order val="0"/>
          <c:dPt>
            <c:idx val="0"/>
            <c:bubble3D val="0"/>
            <c:explosion val="19"/>
          </c:dPt>
          <c:dPt>
            <c:idx val="1"/>
            <c:bubble3D val="0"/>
            <c:explosion val="14"/>
          </c:dPt>
          <c:dLbls>
            <c:dLbl>
              <c:idx val="0"/>
              <c:layout>
                <c:manualLayout>
                  <c:x val="-9.6012266851596501E-2"/>
                  <c:y val="-0.2390905789008316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6233075908047643E-2"/>
                  <c:y val="9.96340051190974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CO2'!$A$22;'emisja CO2'!$A$27)</c:f>
              <c:strCache>
                <c:ptCount val="2"/>
                <c:pt idx="0">
                  <c:v>drewno</c:v>
                </c:pt>
                <c:pt idx="1">
                  <c:v>energia elektryczna</c:v>
                </c:pt>
              </c:strCache>
            </c:strRef>
          </c:cat>
          <c:val>
            <c:numRef>
              <c:f>('emisja CO2'!$C$22;'emisja CO2'!$C$27)</c:f>
              <c:numCache>
                <c:formatCode>0.00</c:formatCode>
                <c:ptCount val="2"/>
                <c:pt idx="0">
                  <c:v>155.38723200000118</c:v>
                </c:pt>
                <c:pt idx="1">
                  <c:v>58.204440000000005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767551730453151"/>
          <c:y val="0.4580515466025426"/>
          <c:w val="0.25854019410364432"/>
          <c:h val="0.28034451031433388"/>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Zużycie energii przez budynki usługowe </a:t>
            </a:r>
            <a:br>
              <a:rPr lang="pl-PL" sz="1800" b="1" i="0" baseline="0">
                <a:effectLst/>
              </a:rPr>
            </a:br>
            <a:r>
              <a:rPr lang="pl-PL" sz="1800" b="1" i="0" baseline="0">
                <a:effectLst/>
              </a:rPr>
              <a:t>w podziale na nośniki energii</a:t>
            </a:r>
            <a:endParaRPr lang="pl-PL">
              <a:effectLst/>
            </a:endParaRPr>
          </a:p>
        </c:rich>
      </c:tx>
      <c:overlay val="0"/>
    </c:title>
    <c:autoTitleDeleted val="0"/>
    <c:view3D>
      <c:rotX val="30"/>
      <c:rotY val="190"/>
      <c:rAngAx val="0"/>
      <c:perspective val="30"/>
    </c:view3D>
    <c:floor>
      <c:thickness val="0"/>
    </c:floor>
    <c:sideWall>
      <c:thickness val="0"/>
    </c:sideWall>
    <c:backWall>
      <c:thickness val="0"/>
    </c:backWall>
    <c:plotArea>
      <c:layout>
        <c:manualLayout>
          <c:layoutTarget val="inner"/>
          <c:xMode val="edge"/>
          <c:yMode val="edge"/>
          <c:x val="4.4378622390975384E-2"/>
          <c:y val="0.27833472943541632"/>
          <c:w val="0.62929771937246171"/>
          <c:h val="0.65326654380968341"/>
        </c:manualLayout>
      </c:layout>
      <c:pie3DChart>
        <c:varyColors val="1"/>
        <c:ser>
          <c:idx val="0"/>
          <c:order val="0"/>
          <c:explosion val="25"/>
          <c:dLbls>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CO2'!$A$20;'emisja CO2'!$A$22;'emisja CO2'!$A$24;'emisja CO2'!$A$27)</c:f>
              <c:strCache>
                <c:ptCount val="4"/>
                <c:pt idx="0">
                  <c:v>węgiel </c:v>
                </c:pt>
                <c:pt idx="1">
                  <c:v>drewno</c:v>
                </c:pt>
                <c:pt idx="2">
                  <c:v>gaz ziemny</c:v>
                </c:pt>
                <c:pt idx="3">
                  <c:v>energia elektryczna</c:v>
                </c:pt>
              </c:strCache>
            </c:strRef>
          </c:cat>
          <c:val>
            <c:numRef>
              <c:f>('emisja CO2'!$B$20;'emisja CO2'!$B$22;'emisja CO2'!$B$24;'emisja CO2'!$B$27)</c:f>
              <c:numCache>
                <c:formatCode>0.00</c:formatCode>
                <c:ptCount val="4"/>
                <c:pt idx="0">
                  <c:v>20517.866666666658</c:v>
                </c:pt>
                <c:pt idx="1">
                  <c:v>47064.160000000003</c:v>
                </c:pt>
                <c:pt idx="2">
                  <c:v>16055.795111999993</c:v>
                </c:pt>
                <c:pt idx="3">
                  <c:v>5263.2000000000007</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b="1"/>
          </a:pPr>
          <a:endParaRPr lang="pl-PL"/>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Emisja CO</a:t>
            </a:r>
            <a:r>
              <a:rPr lang="pl-PL" sz="1800" b="1" i="0" baseline="-25000">
                <a:effectLst/>
              </a:rPr>
              <a:t>2</a:t>
            </a:r>
            <a:r>
              <a:rPr lang="pl-PL" sz="1800" b="1" i="0" baseline="0">
                <a:effectLst/>
              </a:rPr>
              <a:t> przez budynki usługowe w podziale na nośniki energii</a:t>
            </a:r>
            <a:endParaRPr lang="pl-PL">
              <a:effectLst/>
            </a:endParaRPr>
          </a:p>
        </c:rich>
      </c:tx>
      <c:overlay val="0"/>
    </c:title>
    <c:autoTitleDeleted val="0"/>
    <c:view3D>
      <c:rotX val="30"/>
      <c:rotY val="19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('emisja CO2'!$A$20;'emisja CO2'!$A$22;'emisja CO2'!$A$24;'emisja CO2'!$A$27)</c:f>
              <c:strCache>
                <c:ptCount val="4"/>
                <c:pt idx="0">
                  <c:v>węgiel </c:v>
                </c:pt>
                <c:pt idx="1">
                  <c:v>drewno</c:v>
                </c:pt>
                <c:pt idx="2">
                  <c:v>gaz ziemny</c:v>
                </c:pt>
                <c:pt idx="3">
                  <c:v>energia elektryczna</c:v>
                </c:pt>
              </c:strCache>
            </c:strRef>
          </c:cat>
          <c:val>
            <c:numRef>
              <c:f>('emisja CO2'!$C$20;'emisja CO2'!$C$22;'emisja CO2'!$C$24;'emisja CO2'!$C$27)</c:f>
              <c:numCache>
                <c:formatCode>0.00</c:formatCode>
                <c:ptCount val="4"/>
                <c:pt idx="0">
                  <c:v>1943.6575093333329</c:v>
                </c:pt>
                <c:pt idx="1">
                  <c:v>5165.7622016000378</c:v>
                </c:pt>
                <c:pt idx="2">
                  <c:v>896.23448315183975</c:v>
                </c:pt>
                <c:pt idx="3">
                  <c:v>1215.6413039999998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b="1"/>
          </a:pPr>
          <a:endParaRPr lang="pl-PL"/>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Zużycie energii w Gminie Brody w podziale na nośniki energii</a:t>
            </a:r>
          </a:p>
        </c:rich>
      </c:tx>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5.6022747208055418E-2"/>
          <c:y val="0.21583391682400341"/>
          <c:w val="0.59131210740730544"/>
          <c:h val="0.695900650158911"/>
        </c:manualLayout>
      </c:layout>
      <c:pie3DChart>
        <c:varyColors val="1"/>
        <c:ser>
          <c:idx val="0"/>
          <c:order val="0"/>
          <c:explosion val="25"/>
          <c:dLbls>
            <c:dLbl>
              <c:idx val="4"/>
              <c:layout>
                <c:manualLayout>
                  <c:x val="-2.2067517422391464E-2"/>
                  <c:y val="6.143208362726233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7998008869580981E-2"/>
                  <c:y val="-0.1347598276929744"/>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0324644764232081E-2"/>
                  <c:y val="-0.120967017165453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Arkusz1!$E$3:$E$10</c:f>
              <c:strCache>
                <c:ptCount val="8"/>
                <c:pt idx="0">
                  <c:v>Gaz ziemny</c:v>
                </c:pt>
                <c:pt idx="1">
                  <c:v>Drewno</c:v>
                </c:pt>
                <c:pt idx="2">
                  <c:v>Węgiel</c:v>
                </c:pt>
                <c:pt idx="3">
                  <c:v>Energia elektryczna</c:v>
                </c:pt>
                <c:pt idx="4">
                  <c:v>Brykiet/Pellet</c:v>
                </c:pt>
                <c:pt idx="5">
                  <c:v>Benzyna</c:v>
                </c:pt>
                <c:pt idx="6">
                  <c:v>Olej napędowy</c:v>
                </c:pt>
                <c:pt idx="7">
                  <c:v>Gaz LPG</c:v>
                </c:pt>
              </c:strCache>
            </c:strRef>
          </c:cat>
          <c:val>
            <c:numRef>
              <c:f>Arkusz1!$F$3:$F$10</c:f>
              <c:numCache>
                <c:formatCode>General</c:formatCode>
                <c:ptCount val="8"/>
                <c:pt idx="0">
                  <c:v>38227.450000000012</c:v>
                </c:pt>
                <c:pt idx="1">
                  <c:v>261598.37999999998</c:v>
                </c:pt>
                <c:pt idx="2">
                  <c:v>163006.78</c:v>
                </c:pt>
                <c:pt idx="3">
                  <c:v>33237.33</c:v>
                </c:pt>
                <c:pt idx="4">
                  <c:v>1104.27</c:v>
                </c:pt>
                <c:pt idx="5">
                  <c:v>18155.72</c:v>
                </c:pt>
                <c:pt idx="6">
                  <c:v>5346.09</c:v>
                </c:pt>
                <c:pt idx="7">
                  <c:v>10589.18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034591365735152"/>
          <c:y val="0.24246679987344297"/>
          <c:w val="0.25842828735156542"/>
          <c:h val="0.70141972134977881"/>
        </c:manualLayout>
      </c:layou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w Gminie Brody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layout>
        <c:manualLayout>
          <c:xMode val="edge"/>
          <c:yMode val="edge"/>
          <c:x val="0.12569826903619041"/>
          <c:y val="4.0851069304884476E-2"/>
        </c:manualLayout>
      </c:layout>
      <c:overlay val="0"/>
    </c:title>
    <c:autoTitleDeleted val="0"/>
    <c:view3D>
      <c:rotX val="30"/>
      <c:rotY val="190"/>
      <c:rAngAx val="0"/>
      <c:perspective val="30"/>
    </c:view3D>
    <c:floor>
      <c:thickness val="0"/>
    </c:floor>
    <c:sideWall>
      <c:thickness val="0"/>
    </c:sideWall>
    <c:backWall>
      <c:thickness val="0"/>
    </c:backWall>
    <c:plotArea>
      <c:layout>
        <c:manualLayout>
          <c:layoutTarget val="inner"/>
          <c:xMode val="edge"/>
          <c:yMode val="edge"/>
          <c:x val="1.9434570678665386E-2"/>
          <c:y val="0.25497910986392686"/>
          <c:w val="0.63980925995362115"/>
          <c:h val="0.65654269529962161"/>
        </c:manualLayout>
      </c:layout>
      <c:pie3DChart>
        <c:varyColors val="1"/>
        <c:ser>
          <c:idx val="0"/>
          <c:order val="0"/>
          <c:explosion val="25"/>
          <c:dLbls>
            <c:dLbl>
              <c:idx val="4"/>
              <c:layout>
                <c:manualLayout>
                  <c:x val="1.49175103112111E-2"/>
                  <c:y val="-1.84615419021651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2305961754781066E-3"/>
                  <c:y val="8.5781034483722582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3498218972628337E-2"/>
                  <c:y val="4.16463759299959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Arkusz1!$E$3:$E$10</c:f>
              <c:strCache>
                <c:ptCount val="8"/>
                <c:pt idx="0">
                  <c:v>Gaz ziemny</c:v>
                </c:pt>
                <c:pt idx="1">
                  <c:v>Drewno</c:v>
                </c:pt>
                <c:pt idx="2">
                  <c:v>Węgiel</c:v>
                </c:pt>
                <c:pt idx="3">
                  <c:v>Energia elektryczna</c:v>
                </c:pt>
                <c:pt idx="4">
                  <c:v>Brykiet/Pellet</c:v>
                </c:pt>
                <c:pt idx="5">
                  <c:v>Benzyna</c:v>
                </c:pt>
                <c:pt idx="6">
                  <c:v>Olej napędowy</c:v>
                </c:pt>
                <c:pt idx="7">
                  <c:v>Gaz LPG</c:v>
                </c:pt>
              </c:strCache>
            </c:strRef>
          </c:cat>
          <c:val>
            <c:numRef>
              <c:f>Arkusz1!$G$3:$G$10</c:f>
              <c:numCache>
                <c:formatCode>General</c:formatCode>
                <c:ptCount val="8"/>
                <c:pt idx="0">
                  <c:v>2133.8500000000022</c:v>
                </c:pt>
                <c:pt idx="1">
                  <c:v>28713.040000000001</c:v>
                </c:pt>
                <c:pt idx="2">
                  <c:v>15441.630000000006</c:v>
                </c:pt>
                <c:pt idx="3">
                  <c:v>7676.8200000000024</c:v>
                </c:pt>
                <c:pt idx="4">
                  <c:v>121.2</c:v>
                </c:pt>
                <c:pt idx="5">
                  <c:v>1245.6599999999999</c:v>
                </c:pt>
                <c:pt idx="6">
                  <c:v>392.03</c:v>
                </c:pt>
                <c:pt idx="7">
                  <c:v>661.19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Zużycie energii w Gminie Brody w podziale na sektory odbiorców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4.0448105946837273E-2"/>
          <c:y val="0.22601810133167141"/>
          <c:w val="0.57114735658043159"/>
          <c:h val="0.76856612903269228"/>
        </c:manualLayout>
      </c:layout>
      <c:pie3DChart>
        <c:varyColors val="1"/>
        <c:ser>
          <c:idx val="0"/>
          <c:order val="0"/>
          <c:explosion val="15"/>
          <c:dLbls>
            <c:dLbl>
              <c:idx val="0"/>
              <c:layout>
                <c:manualLayout>
                  <c:x val="1.9832243191823244E-2"/>
                  <c:y val="0.1581352522931235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729242178061335E-2"/>
                  <c:y val="-3.7250955768042202E-2"/>
                </c:manualLayout>
              </c:layou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layout>
                <c:manualLayout>
                  <c:x val="-4.3865350164562757E-2"/>
                  <c:y val="-1.496977899385142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Arkusz1!$E$29:$E$36</c:f>
              <c:strCache>
                <c:ptCount val="8"/>
                <c:pt idx="0">
                  <c:v>budynki mieszkalne</c:v>
                </c:pt>
                <c:pt idx="1">
                  <c:v>budynki użyteczności publicznej</c:v>
                </c:pt>
                <c:pt idx="3">
                  <c:v>obiekty sakralne</c:v>
                </c:pt>
                <c:pt idx="4">
                  <c:v>oświetlenie uliczne</c:v>
                </c:pt>
                <c:pt idx="5">
                  <c:v>transport</c:v>
                </c:pt>
                <c:pt idx="6">
                  <c:v>przemysł</c:v>
                </c:pt>
                <c:pt idx="7">
                  <c:v>Budynki usługowe (niekomunalne)</c:v>
                </c:pt>
              </c:strCache>
            </c:strRef>
          </c:cat>
          <c:val>
            <c:numRef>
              <c:f>Arkusz1!$F$29:$F$36</c:f>
              <c:numCache>
                <c:formatCode>General</c:formatCode>
                <c:ptCount val="8"/>
                <c:pt idx="0">
                  <c:v>387049.9700000002</c:v>
                </c:pt>
                <c:pt idx="1">
                  <c:v>17494.560000000001</c:v>
                </c:pt>
                <c:pt idx="3">
                  <c:v>434.09</c:v>
                </c:pt>
                <c:pt idx="4">
                  <c:v>5414.54</c:v>
                </c:pt>
                <c:pt idx="5">
                  <c:v>30303.309999999896</c:v>
                </c:pt>
                <c:pt idx="6">
                  <c:v>1667.7</c:v>
                </c:pt>
                <c:pt idx="7">
                  <c:v>88901.03</c:v>
                </c:pt>
              </c:numCache>
            </c:numRef>
          </c:val>
        </c:ser>
        <c:dLbls>
          <c:showLegendKey val="0"/>
          <c:showVal val="0"/>
          <c:showCatName val="0"/>
          <c:showSerName val="0"/>
          <c:showPercent val="1"/>
          <c:showBubbleSize val="0"/>
          <c:showLeaderLines val="1"/>
        </c:dLbls>
      </c:pie3DChart>
    </c:plotArea>
    <c:legend>
      <c:legendPos val="r"/>
      <c:legendEntry>
        <c:idx val="2"/>
        <c:delete val="1"/>
      </c:legendEntry>
      <c:layout>
        <c:manualLayout>
          <c:xMode val="edge"/>
          <c:yMode val="edge"/>
          <c:x val="0.65448607868740061"/>
          <c:y val="0.20827302172334838"/>
          <c:w val="0.32343925759280268"/>
          <c:h val="0.73749207662242955"/>
        </c:manualLayout>
      </c:layout>
      <c:overlay val="0"/>
      <c:txPr>
        <a:bodyPr/>
        <a:lstStyle/>
        <a:p>
          <a:pPr>
            <a:defRPr sz="1100" b="1"/>
          </a:pPr>
          <a:endParaRPr lang="pl-PL"/>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w Gminie Brody w podziale na sektory odbiorców</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0"/>
          <c:y val="0.22981881424017589"/>
          <c:w val="0.67940552912240715"/>
          <c:h val="0.74728430245197464"/>
        </c:manualLayout>
      </c:layout>
      <c:pie3DChart>
        <c:varyColors val="1"/>
        <c:ser>
          <c:idx val="0"/>
          <c:order val="0"/>
          <c:explosion val="25"/>
          <c:dPt>
            <c:idx val="5"/>
            <c:bubble3D val="0"/>
            <c:explosion val="33"/>
          </c:dPt>
          <c:dLbls>
            <c:dLbl>
              <c:idx val="0"/>
              <c:layout>
                <c:manualLayout>
                  <c:x val="1.3285709742771894E-2"/>
                  <c:y val="0.14599329040962997"/>
                </c:manualLayout>
              </c:layou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Arkusz1!$E$29:$E$36</c:f>
              <c:strCache>
                <c:ptCount val="8"/>
                <c:pt idx="0">
                  <c:v>budynki mieszkalne</c:v>
                </c:pt>
                <c:pt idx="1">
                  <c:v>budynki użyteczności publicznej</c:v>
                </c:pt>
                <c:pt idx="3">
                  <c:v>obiekty sakralne</c:v>
                </c:pt>
                <c:pt idx="4">
                  <c:v>oświetlenie uliczne</c:v>
                </c:pt>
                <c:pt idx="5">
                  <c:v>transport</c:v>
                </c:pt>
                <c:pt idx="6">
                  <c:v>przemysł</c:v>
                </c:pt>
                <c:pt idx="7">
                  <c:v>Budynki usługowe (niekomunalne)</c:v>
                </c:pt>
              </c:strCache>
            </c:strRef>
          </c:cat>
          <c:val>
            <c:numRef>
              <c:f>Arkusz1!$H$29:$H$36</c:f>
              <c:numCache>
                <c:formatCode>General</c:formatCode>
                <c:ptCount val="8"/>
                <c:pt idx="0">
                  <c:v>40282.78</c:v>
                </c:pt>
                <c:pt idx="1">
                  <c:v>3315.1</c:v>
                </c:pt>
                <c:pt idx="3">
                  <c:v>39.68</c:v>
                </c:pt>
                <c:pt idx="4">
                  <c:v>1250.5999999999999</c:v>
                </c:pt>
                <c:pt idx="5">
                  <c:v>2062.38</c:v>
                </c:pt>
                <c:pt idx="6">
                  <c:v>213.58999999999997</c:v>
                </c:pt>
                <c:pt idx="7">
                  <c:v>9221.2899999999463</c:v>
                </c:pt>
              </c:numCache>
            </c:numRef>
          </c:val>
        </c:ser>
        <c:dLbls>
          <c:showLegendKey val="0"/>
          <c:showVal val="0"/>
          <c:showCatName val="0"/>
          <c:showSerName val="0"/>
          <c:showPercent val="1"/>
          <c:showBubbleSize val="0"/>
          <c:showLeaderLines val="1"/>
        </c:dLbls>
      </c:pie3DChart>
    </c:plotArea>
    <c:legend>
      <c:legendPos val="r"/>
      <c:legendEntry>
        <c:idx val="2"/>
        <c:delete val="1"/>
      </c:legendEntry>
      <c:layout>
        <c:manualLayout>
          <c:xMode val="edge"/>
          <c:yMode val="edge"/>
          <c:x val="0.64575837146765225"/>
          <c:y val="0.25374808823643175"/>
          <c:w val="0.32742429619084468"/>
          <c:h val="0.64008739126701086"/>
        </c:manualLayout>
      </c:layout>
      <c:overlay val="0"/>
      <c:txPr>
        <a:bodyPr/>
        <a:lstStyle/>
        <a:p>
          <a:pPr>
            <a:defRPr sz="1100" b="1"/>
          </a:pPr>
          <a:endParaRPr lang="pl-PL"/>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Wykonane termomodernizacje budynków jednorodzinnych w Gminie Brody</a:t>
            </a:r>
            <a:endParaRPr lang="pl-PL">
              <a:effectLst/>
            </a:endParaRPr>
          </a:p>
        </c:rich>
      </c:tx>
      <c:overlay val="0"/>
    </c:title>
    <c:autoTitleDeleted val="0"/>
    <c:plotArea>
      <c:layout>
        <c:manualLayout>
          <c:layoutTarget val="inner"/>
          <c:xMode val="edge"/>
          <c:yMode val="edge"/>
          <c:x val="9.4706738046633265E-2"/>
          <c:y val="0.19767580959874917"/>
          <c:w val="0.49619023316529881"/>
          <c:h val="0.7598645839425372"/>
        </c:manualLayout>
      </c:layout>
      <c:doughnutChart>
        <c:varyColors val="1"/>
        <c:ser>
          <c:idx val="0"/>
          <c:order val="0"/>
          <c:explosion val="10"/>
          <c:dLbls>
            <c:dLbl>
              <c:idx val="8"/>
              <c:layout>
                <c:manualLayout>
                  <c:x val="4.3986939094514078E-3"/>
                  <c:y val="-9.893665041606386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[Ankieta_Mieszkańcy_Brody.xls]mieszkańcy!$AY$3:$BG$3</c:f>
              <c:strCache>
                <c:ptCount val="9"/>
                <c:pt idx="0">
                  <c:v>wymiana okien</c:v>
                </c:pt>
                <c:pt idx="1">
                  <c:v>ocieplenie ścian zewnętrznych</c:v>
                </c:pt>
                <c:pt idx="2">
                  <c:v>ocieplenie stropu w piwnicy</c:v>
                </c:pt>
                <c:pt idx="3">
                  <c:v>ocieplenie poddasza / dachu</c:v>
                </c:pt>
                <c:pt idx="4">
                  <c:v>wymiana źródła ciepła (kotła)</c:v>
                </c:pt>
                <c:pt idx="5">
                  <c:v>modernizacja instalacji grzewczej</c:v>
                </c:pt>
                <c:pt idx="6">
                  <c:v>modernizacjia instalacji c.w.u.</c:v>
                </c:pt>
                <c:pt idx="7">
                  <c:v>montaż pompy ciepła</c:v>
                </c:pt>
                <c:pt idx="8">
                  <c:v>montaż kolektorów słonecznych</c:v>
                </c:pt>
              </c:strCache>
            </c:strRef>
          </c:cat>
          <c:val>
            <c:numRef>
              <c:f>[Ankieta_Mieszkańcy_Brody.xls]mieszkańcy!$AY$99:$BG$99</c:f>
              <c:numCache>
                <c:formatCode>0</c:formatCode>
                <c:ptCount val="9"/>
                <c:pt idx="0">
                  <c:v>26.256983240223462</c:v>
                </c:pt>
                <c:pt idx="1">
                  <c:v>18.435754189944127</c:v>
                </c:pt>
                <c:pt idx="2">
                  <c:v>9.4972067039106154</c:v>
                </c:pt>
                <c:pt idx="3">
                  <c:v>14.52513966480447</c:v>
                </c:pt>
                <c:pt idx="4">
                  <c:v>11.731843575418994</c:v>
                </c:pt>
                <c:pt idx="5">
                  <c:v>11.173184357541984</c:v>
                </c:pt>
                <c:pt idx="6">
                  <c:v>5.0279329608938355</c:v>
                </c:pt>
                <c:pt idx="7">
                  <c:v>2.7932960893854752</c:v>
                </c:pt>
                <c:pt idx="8">
                  <c:v>0.55865921787709916</c:v>
                </c:pt>
              </c:numCache>
            </c:numRef>
          </c:val>
        </c:ser>
        <c:dLbls>
          <c:showLegendKey val="0"/>
          <c:showVal val="0"/>
          <c:showCatName val="0"/>
          <c:showSerName val="0"/>
          <c:showPercent val="1"/>
          <c:showBubbleSize val="0"/>
          <c:showLeaderLines val="1"/>
        </c:dLbls>
        <c:firstSliceAng val="305"/>
        <c:holeSize val="50"/>
      </c:doughnutChart>
      <c:spPr>
        <a:scene3d>
          <a:camera prst="orthographicFront"/>
          <a:lightRig rig="threePt" dir="t"/>
        </a:scene3d>
      </c:spPr>
    </c:plotArea>
    <c:legend>
      <c:legendPos val="r"/>
      <c:layout>
        <c:manualLayout>
          <c:xMode val="edge"/>
          <c:yMode val="edge"/>
          <c:x val="0.68110918093088368"/>
          <c:y val="0.23689702105940341"/>
          <c:w val="0.30736800261078667"/>
          <c:h val="0.7458998928246815"/>
        </c:manualLayout>
      </c:layout>
      <c:overlay val="0"/>
      <c:txPr>
        <a:bodyPr/>
        <a:lstStyle/>
        <a:p>
          <a:pPr rtl="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Struktura wieku i płci w Gminie Brody </a:t>
            </a:r>
            <a:br>
              <a:rPr lang="pl-PL" sz="1800" b="1" i="0" baseline="0">
                <a:effectLst/>
              </a:rPr>
            </a:br>
            <a:r>
              <a:rPr lang="pl-PL" sz="1800" b="1" i="0" baseline="0">
                <a:effectLst/>
              </a:rPr>
              <a:t>(stan na dzień 31.03.2016 r.)</a:t>
            </a:r>
            <a:endParaRPr lang="pl-PL">
              <a:effectLst/>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Mężczyźni</c:v>
          </c:tx>
          <c:invertIfNegative val="0"/>
          <c:cat>
            <c:strRef>
              <c:f>Arkusz1!$A$23:$A$35</c:f>
              <c:strCache>
                <c:ptCount val="13"/>
                <c:pt idx="0">
                  <c:v>0-2</c:v>
                </c:pt>
                <c:pt idx="1">
                  <c:v>3</c:v>
                </c:pt>
                <c:pt idx="2">
                  <c:v>4-5.</c:v>
                </c:pt>
                <c:pt idx="3">
                  <c:v>6</c:v>
                </c:pt>
                <c:pt idx="4">
                  <c:v>7</c:v>
                </c:pt>
                <c:pt idx="5">
                  <c:v>8-12.</c:v>
                </c:pt>
                <c:pt idx="6">
                  <c:v>13-15</c:v>
                </c:pt>
                <c:pt idx="7">
                  <c:v>16-17</c:v>
                </c:pt>
                <c:pt idx="8">
                  <c:v>18</c:v>
                </c:pt>
                <c:pt idx="9">
                  <c:v>19-65</c:v>
                </c:pt>
                <c:pt idx="10">
                  <c:v>19-60</c:v>
                </c:pt>
                <c:pt idx="11">
                  <c:v>&gt;65</c:v>
                </c:pt>
                <c:pt idx="12">
                  <c:v>&gt;60</c:v>
                </c:pt>
              </c:strCache>
            </c:strRef>
          </c:cat>
          <c:val>
            <c:numRef>
              <c:f>Arkusz1!$B$23:$B$35</c:f>
              <c:numCache>
                <c:formatCode>General</c:formatCode>
                <c:ptCount val="13"/>
                <c:pt idx="0">
                  <c:v>100</c:v>
                </c:pt>
                <c:pt idx="1">
                  <c:v>53</c:v>
                </c:pt>
                <c:pt idx="2">
                  <c:v>125</c:v>
                </c:pt>
                <c:pt idx="3">
                  <c:v>68</c:v>
                </c:pt>
                <c:pt idx="4">
                  <c:v>77</c:v>
                </c:pt>
                <c:pt idx="5">
                  <c:v>281</c:v>
                </c:pt>
                <c:pt idx="6">
                  <c:v>145</c:v>
                </c:pt>
                <c:pt idx="7">
                  <c:v>118</c:v>
                </c:pt>
                <c:pt idx="8">
                  <c:v>74</c:v>
                </c:pt>
                <c:pt idx="9">
                  <c:v>3672</c:v>
                </c:pt>
                <c:pt idx="10">
                  <c:v>0</c:v>
                </c:pt>
                <c:pt idx="11">
                  <c:v>646</c:v>
                </c:pt>
                <c:pt idx="12">
                  <c:v>0</c:v>
                </c:pt>
              </c:numCache>
            </c:numRef>
          </c:val>
        </c:ser>
        <c:ser>
          <c:idx val="1"/>
          <c:order val="1"/>
          <c:tx>
            <c:v>Kobiety</c:v>
          </c:tx>
          <c:invertIfNegative val="0"/>
          <c:cat>
            <c:strRef>
              <c:f>Arkusz1!$A$23:$A$35</c:f>
              <c:strCache>
                <c:ptCount val="13"/>
                <c:pt idx="0">
                  <c:v>0-2</c:v>
                </c:pt>
                <c:pt idx="1">
                  <c:v>3</c:v>
                </c:pt>
                <c:pt idx="2">
                  <c:v>4-5.</c:v>
                </c:pt>
                <c:pt idx="3">
                  <c:v>6</c:v>
                </c:pt>
                <c:pt idx="4">
                  <c:v>7</c:v>
                </c:pt>
                <c:pt idx="5">
                  <c:v>8-12.</c:v>
                </c:pt>
                <c:pt idx="6">
                  <c:v>13-15</c:v>
                </c:pt>
                <c:pt idx="7">
                  <c:v>16-17</c:v>
                </c:pt>
                <c:pt idx="8">
                  <c:v>18</c:v>
                </c:pt>
                <c:pt idx="9">
                  <c:v>19-65</c:v>
                </c:pt>
                <c:pt idx="10">
                  <c:v>19-60</c:v>
                </c:pt>
                <c:pt idx="11">
                  <c:v>&gt;65</c:v>
                </c:pt>
                <c:pt idx="12">
                  <c:v>&gt;60</c:v>
                </c:pt>
              </c:strCache>
            </c:strRef>
          </c:cat>
          <c:val>
            <c:numRef>
              <c:f>Arkusz1!$C$23:$C$35</c:f>
              <c:numCache>
                <c:formatCode>General</c:formatCode>
                <c:ptCount val="13"/>
                <c:pt idx="0">
                  <c:v>76</c:v>
                </c:pt>
                <c:pt idx="1">
                  <c:v>46</c:v>
                </c:pt>
                <c:pt idx="2">
                  <c:v>85</c:v>
                </c:pt>
                <c:pt idx="3">
                  <c:v>46</c:v>
                </c:pt>
                <c:pt idx="4">
                  <c:v>63</c:v>
                </c:pt>
                <c:pt idx="5">
                  <c:v>277</c:v>
                </c:pt>
                <c:pt idx="6">
                  <c:v>165</c:v>
                </c:pt>
                <c:pt idx="7">
                  <c:v>123</c:v>
                </c:pt>
                <c:pt idx="8">
                  <c:v>54</c:v>
                </c:pt>
                <c:pt idx="9">
                  <c:v>0</c:v>
                </c:pt>
                <c:pt idx="10">
                  <c:v>3209</c:v>
                </c:pt>
                <c:pt idx="11">
                  <c:v>0</c:v>
                </c:pt>
                <c:pt idx="12">
                  <c:v>1466</c:v>
                </c:pt>
              </c:numCache>
            </c:numRef>
          </c:val>
        </c:ser>
        <c:dLbls>
          <c:showLegendKey val="0"/>
          <c:showVal val="0"/>
          <c:showCatName val="0"/>
          <c:showSerName val="0"/>
          <c:showPercent val="0"/>
          <c:showBubbleSize val="0"/>
        </c:dLbls>
        <c:gapWidth val="150"/>
        <c:shape val="box"/>
        <c:axId val="170238336"/>
        <c:axId val="170239872"/>
        <c:axId val="0"/>
      </c:bar3DChart>
      <c:catAx>
        <c:axId val="170238336"/>
        <c:scaling>
          <c:orientation val="minMax"/>
        </c:scaling>
        <c:delete val="0"/>
        <c:axPos val="l"/>
        <c:numFmt formatCode="General" sourceLinked="0"/>
        <c:majorTickMark val="out"/>
        <c:minorTickMark val="none"/>
        <c:tickLblPos val="nextTo"/>
        <c:crossAx val="170239872"/>
        <c:crosses val="autoZero"/>
        <c:auto val="1"/>
        <c:lblAlgn val="ctr"/>
        <c:lblOffset val="100"/>
        <c:noMultiLvlLbl val="0"/>
      </c:catAx>
      <c:valAx>
        <c:axId val="170239872"/>
        <c:scaling>
          <c:orientation val="minMax"/>
        </c:scaling>
        <c:delete val="0"/>
        <c:axPos val="b"/>
        <c:majorGridlines/>
        <c:numFmt formatCode="General" sourceLinked="1"/>
        <c:majorTickMark val="out"/>
        <c:minorTickMark val="none"/>
        <c:tickLblPos val="nextTo"/>
        <c:crossAx val="170238336"/>
        <c:crosses val="autoZero"/>
        <c:crossBetween val="between"/>
        <c:majorUnit val="500"/>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Planowane termomodernizacje budynków jednorodzinnych w Gminie Brody</a:t>
            </a:r>
            <a:endParaRPr lang="pl-PL">
              <a:effectLst/>
            </a:endParaRPr>
          </a:p>
        </c:rich>
      </c:tx>
      <c:overlay val="0"/>
    </c:title>
    <c:autoTitleDeleted val="0"/>
    <c:plotArea>
      <c:layout>
        <c:manualLayout>
          <c:layoutTarget val="inner"/>
          <c:xMode val="edge"/>
          <c:yMode val="edge"/>
          <c:x val="0.11022728869949135"/>
          <c:y val="0.22015273818767356"/>
          <c:w val="0.46087538231275116"/>
          <c:h val="0.69199935382001865"/>
        </c:manualLayout>
      </c:layout>
      <c:doughnutChart>
        <c:varyColors val="1"/>
        <c:ser>
          <c:idx val="0"/>
          <c:order val="0"/>
          <c:explosion val="10"/>
          <c:dLbls>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[Ankieta_Mieszkańcy_Brody.xls]mieszkańcy!$BI$3:$BQ$3</c:f>
              <c:strCache>
                <c:ptCount val="9"/>
                <c:pt idx="0">
                  <c:v>wymiana okien</c:v>
                </c:pt>
                <c:pt idx="1">
                  <c:v>ocieplenie ścian zewnętrznych</c:v>
                </c:pt>
                <c:pt idx="2">
                  <c:v>ocieplenie stropu w piwnicy</c:v>
                </c:pt>
                <c:pt idx="3">
                  <c:v>ocieplenie poddasza / dachu</c:v>
                </c:pt>
                <c:pt idx="4">
                  <c:v>wymiana źródła ciepła (kotła)</c:v>
                </c:pt>
                <c:pt idx="5">
                  <c:v>modernizacja instalacji grzewczej</c:v>
                </c:pt>
                <c:pt idx="6">
                  <c:v>modernizacjia instalacji c.w.u.</c:v>
                </c:pt>
                <c:pt idx="7">
                  <c:v>montaż pompy ciepła</c:v>
                </c:pt>
                <c:pt idx="8">
                  <c:v>montaż kolektorów słonecznych</c:v>
                </c:pt>
              </c:strCache>
            </c:strRef>
          </c:cat>
          <c:val>
            <c:numRef>
              <c:f>[Ankieta_Mieszkańcy_Brody.xls]mieszkańcy!$BI$99:$BQ$99</c:f>
              <c:numCache>
                <c:formatCode>0</c:formatCode>
                <c:ptCount val="9"/>
                <c:pt idx="0">
                  <c:v>5.6</c:v>
                </c:pt>
                <c:pt idx="1">
                  <c:v>11.2</c:v>
                </c:pt>
                <c:pt idx="2">
                  <c:v>6.4</c:v>
                </c:pt>
                <c:pt idx="3">
                  <c:v>13.6</c:v>
                </c:pt>
                <c:pt idx="4">
                  <c:v>19.2</c:v>
                </c:pt>
                <c:pt idx="5">
                  <c:v>16.8</c:v>
                </c:pt>
                <c:pt idx="6">
                  <c:v>4.8</c:v>
                </c:pt>
                <c:pt idx="7">
                  <c:v>8.8000000000000007</c:v>
                </c:pt>
                <c:pt idx="8">
                  <c:v>13.6</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5264979067699924"/>
          <c:y val="0.25878156594768892"/>
          <c:w val="0.33412706882714338"/>
          <c:h val="0.70406077218508223"/>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Zainteresowanie mieszkańców Gminy Brody dofinansowaniem działań na rzecz redukcji emisji CO</a:t>
            </a:r>
            <a:r>
              <a:rPr lang="pl-PL" sz="1800" b="1" i="0" baseline="-25000">
                <a:effectLst/>
              </a:rPr>
              <a:t>2</a:t>
            </a:r>
            <a:r>
              <a:rPr lang="pl-PL" sz="1800" b="1" i="0" baseline="0">
                <a:effectLst/>
              </a:rPr>
              <a:t> </a:t>
            </a:r>
            <a:endParaRPr lang="pl-PL">
              <a:effectLs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213737249324292"/>
          <c:y val="0.27266850264406772"/>
          <c:w val="0.87799918864890913"/>
          <c:h val="0.6352078403992607"/>
        </c:manualLayout>
      </c:layout>
      <c:bar3DChart>
        <c:barDir val="col"/>
        <c:grouping val="clustered"/>
        <c:varyColors val="0"/>
        <c:ser>
          <c:idx val="0"/>
          <c:order val="0"/>
          <c:spPr>
            <a:solidFill>
              <a:srgbClr val="33CC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9858160188077203E-2"/>
                  <c:y val="8.71683280969189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822651358524399E-2"/>
                  <c:y val="0.1909439768304832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'[Ankieta_Mieszkańcy_Brody.xls]emisja CO2'!$G$73;'[Ankieta_Mieszkańcy_Brody.xls]emisja CO2'!$G$75</c:f>
              <c:strCache>
                <c:ptCount val="2"/>
                <c:pt idx="0">
                  <c:v>niezainteresowani</c:v>
                </c:pt>
                <c:pt idx="1">
                  <c:v>zainteresowani</c:v>
                </c:pt>
              </c:strCache>
            </c:strRef>
          </c:cat>
          <c:val>
            <c:numRef>
              <c:f>'[Ankieta_Mieszkańcy_Brody.xls]emisja CO2'!$H$73;'[Ankieta_Mieszkańcy_Brody.xls]emisja CO2'!$H$75</c:f>
              <c:numCache>
                <c:formatCode>0%</c:formatCode>
                <c:ptCount val="2"/>
                <c:pt idx="0">
                  <c:v>0.21000000000000021</c:v>
                </c:pt>
                <c:pt idx="1">
                  <c:v>0.79</c:v>
                </c:pt>
              </c:numCache>
            </c:numRef>
          </c:val>
        </c:ser>
        <c:dLbls>
          <c:showLegendKey val="0"/>
          <c:showVal val="0"/>
          <c:showCatName val="0"/>
          <c:showSerName val="0"/>
          <c:showPercent val="0"/>
          <c:showBubbleSize val="0"/>
        </c:dLbls>
        <c:gapWidth val="150"/>
        <c:shape val="cylinder"/>
        <c:axId val="198695552"/>
        <c:axId val="198791552"/>
        <c:axId val="0"/>
      </c:bar3DChart>
      <c:catAx>
        <c:axId val="198695552"/>
        <c:scaling>
          <c:orientation val="minMax"/>
        </c:scaling>
        <c:delete val="0"/>
        <c:axPos val="b"/>
        <c:numFmt formatCode="General" sourceLinked="0"/>
        <c:majorTickMark val="none"/>
        <c:minorTickMark val="none"/>
        <c:tickLblPos val="nextTo"/>
        <c:txPr>
          <a:bodyPr/>
          <a:lstStyle/>
          <a:p>
            <a:pPr>
              <a:defRPr sz="1200" b="1"/>
            </a:pPr>
            <a:endParaRPr lang="pl-PL"/>
          </a:p>
        </c:txPr>
        <c:crossAx val="198791552"/>
        <c:crosses val="autoZero"/>
        <c:auto val="1"/>
        <c:lblAlgn val="ctr"/>
        <c:lblOffset val="100"/>
        <c:noMultiLvlLbl val="0"/>
      </c:catAx>
      <c:valAx>
        <c:axId val="198791552"/>
        <c:scaling>
          <c:orientation val="minMax"/>
          <c:max val="1"/>
        </c:scaling>
        <c:delete val="0"/>
        <c:axPos val="l"/>
        <c:majorGridlines/>
        <c:numFmt formatCode="0%" sourceLinked="1"/>
        <c:majorTickMark val="none"/>
        <c:minorTickMark val="none"/>
        <c:tickLblPos val="nextTo"/>
        <c:crossAx val="1986955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Zużycie energii przez budynki mieszkalne </a:t>
            </a:r>
            <a:br>
              <a:rPr lang="pl-PL"/>
            </a:br>
            <a:r>
              <a:rPr lang="pl-PL"/>
              <a:t>w podziale na nośniki energii</a:t>
            </a:r>
          </a:p>
        </c:rich>
      </c:tx>
      <c:overlay val="0"/>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2.5894161878414021E-2"/>
          <c:y val="0.20100798141920337"/>
          <c:w val="0.69516687947790257"/>
          <c:h val="0.7235961361607296"/>
        </c:manualLayout>
      </c:layout>
      <c:pie3DChart>
        <c:varyColors val="1"/>
        <c:ser>
          <c:idx val="0"/>
          <c:order val="0"/>
          <c:explosion val="25"/>
          <c:dLbls>
            <c:dLbl>
              <c:idx val="3"/>
              <c:layout>
                <c:manualLayout>
                  <c:x val="1.7882705540185964E-2"/>
                  <c:y val="2.148069087272040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'[Ankieta_Mieszkańcy_Brody.xls]emisja CO2'!$A$28;'[Ankieta_Mieszkańcy_Brody.xls]emisja CO2'!$A$30;'[Ankieta_Mieszkańcy_Brody.xls]emisja CO2'!$A$31;'[Ankieta_Mieszkańcy_Brody.xls]emisja CO2'!$A$32;'[Ankieta_Mieszkańcy_Brody.xls]emisja CO2'!$A$33;'[Ankieta_Mieszkańcy_Brody.xls]emisja CO2'!$A$35</c:f>
              <c:strCache>
                <c:ptCount val="6"/>
                <c:pt idx="0">
                  <c:v>węgiel </c:v>
                </c:pt>
                <c:pt idx="1">
                  <c:v>drewno</c:v>
                </c:pt>
                <c:pt idx="2">
                  <c:v>brykiet/pellet</c:v>
                </c:pt>
                <c:pt idx="3">
                  <c:v>gaz ziemny</c:v>
                </c:pt>
                <c:pt idx="4">
                  <c:v>gaz płynny (LPG)</c:v>
                </c:pt>
                <c:pt idx="5">
                  <c:v>energia elektryczna</c:v>
                </c:pt>
              </c:strCache>
            </c:strRef>
          </c:cat>
          <c:val>
            <c:numRef>
              <c:f>'[Ankieta_Mieszkańcy_Brody.xls]emisja CO2'!$B$28;'[Ankieta_Mieszkańcy_Brody.xls]emisja CO2'!$B$30;'[Ankieta_Mieszkańcy_Brody.xls]emisja CO2'!$B$31;'[Ankieta_Mieszkańcy_Brody.xls]emisja CO2'!$B$32;'[Ankieta_Mieszkańcy_Brody.xls]emisja CO2'!$B$33;'[Ankieta_Mieszkańcy_Brody.xls]emisja CO2'!$B$35</c:f>
              <c:numCache>
                <c:formatCode>0.00</c:formatCode>
                <c:ptCount val="6"/>
                <c:pt idx="0">
                  <c:v>142488.90505617968</c:v>
                </c:pt>
                <c:pt idx="1">
                  <c:v>209778.10786516947</c:v>
                </c:pt>
                <c:pt idx="2">
                  <c:v>1104.2696629213483</c:v>
                </c:pt>
                <c:pt idx="3">
                  <c:v>17682.958977411236</c:v>
                </c:pt>
                <c:pt idx="4">
                  <c:v>3787.6843152808992</c:v>
                </c:pt>
                <c:pt idx="5">
                  <c:v>8867.6251685393308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427489891466269"/>
          <c:y val="0.33832222378852594"/>
          <c:w val="0.24336213181685723"/>
          <c:h val="0.4425371381007025"/>
        </c:manualLayout>
      </c:layout>
      <c:overlay val="0"/>
      <c:txPr>
        <a:bodyPr/>
        <a:lstStyle/>
        <a:p>
          <a:pPr>
            <a:defRPr sz="1100"/>
          </a:pPr>
          <a:endParaRPr lang="pl-PL"/>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Emisja CO2</a:t>
            </a:r>
            <a:r>
              <a:rPr lang="pl-PL" baseline="0"/>
              <a:t> przez budynki mieszkalne </a:t>
            </a:r>
            <a:br>
              <a:rPr lang="pl-PL" baseline="0"/>
            </a:br>
            <a:r>
              <a:rPr lang="pl-PL" baseline="0"/>
              <a:t>w podziale na nośniki energii</a:t>
            </a:r>
            <a:endParaRPr lang="pl-PL"/>
          </a:p>
        </c:rich>
      </c:tx>
      <c:overlay val="0"/>
    </c:title>
    <c:autoTitleDeleted val="0"/>
    <c:view3D>
      <c:rotX val="30"/>
      <c:rotY val="230"/>
      <c:rAngAx val="0"/>
      <c:perspective val="30"/>
    </c:view3D>
    <c:floor>
      <c:thickness val="0"/>
    </c:floor>
    <c:sideWall>
      <c:thickness val="0"/>
    </c:sideWall>
    <c:backWall>
      <c:thickness val="0"/>
    </c:backWall>
    <c:plotArea>
      <c:layout>
        <c:manualLayout>
          <c:layoutTarget val="inner"/>
          <c:xMode val="edge"/>
          <c:yMode val="edge"/>
          <c:x val="4.8452623977558534E-2"/>
          <c:y val="0.23750894774516923"/>
          <c:w val="0.65408681553694681"/>
          <c:h val="0.70326257883950516"/>
        </c:manualLayout>
      </c:layout>
      <c:pie3DChart>
        <c:varyColors val="1"/>
        <c:ser>
          <c:idx val="0"/>
          <c:order val="0"/>
          <c:explosion val="25"/>
          <c:dLbls>
            <c:dLbl>
              <c:idx val="5"/>
              <c:layout>
                <c:manualLayout>
                  <c:x val="4.4149150777640376E-3"/>
                  <c:y val="9.342695799388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'[Ankieta_Mieszkańcy_Brody.xls]emisja CO2'!$A$28;'[Ankieta_Mieszkańcy_Brody.xls]emisja CO2'!$A$30;'[Ankieta_Mieszkańcy_Brody.xls]emisja CO2'!$A$31;'[Ankieta_Mieszkańcy_Brody.xls]emisja CO2'!$A$32;'[Ankieta_Mieszkańcy_Brody.xls]emisja CO2'!$A$33;'[Ankieta_Mieszkańcy_Brody.xls]emisja CO2'!$A$35</c:f>
              <c:strCache>
                <c:ptCount val="6"/>
                <c:pt idx="0">
                  <c:v>węgiel </c:v>
                </c:pt>
                <c:pt idx="1">
                  <c:v>drewno</c:v>
                </c:pt>
                <c:pt idx="2">
                  <c:v>brykiet/pellet</c:v>
                </c:pt>
                <c:pt idx="3">
                  <c:v>gaz ziemny</c:v>
                </c:pt>
                <c:pt idx="4">
                  <c:v>gaz płynny (LPG)</c:v>
                </c:pt>
                <c:pt idx="5">
                  <c:v>energia elektryczna</c:v>
                </c:pt>
              </c:strCache>
            </c:strRef>
          </c:cat>
          <c:val>
            <c:numRef>
              <c:f>'[Ankieta_Mieszkańcy_Brody.xls]emisja CO2'!$C$28;'[Ankieta_Mieszkańcy_Brody.xls]emisja CO2'!$C$30;'[Ankieta_Mieszkańcy_Brody.xls]emisja CO2'!$C$31;'[Ankieta_Mieszkańcy_Brody.xls]emisja CO2'!$C$32;'[Ankieta_Mieszkańcy_Brody.xls]emisja CO2'!$C$33;'[Ankieta_Mieszkańcy_Brody.xls]emisja CO2'!$C$35</c:f>
              <c:numCache>
                <c:formatCode>0.00</c:formatCode>
                <c:ptCount val="6"/>
                <c:pt idx="0">
                  <c:v>13497.973975971909</c:v>
                </c:pt>
                <c:pt idx="1">
                  <c:v>15692.364508044944</c:v>
                </c:pt>
                <c:pt idx="2">
                  <c:v>121.20463820224722</c:v>
                </c:pt>
                <c:pt idx="3">
                  <c:v>987.06277011909515</c:v>
                </c:pt>
                <c:pt idx="4">
                  <c:v>236.50300864613934</c:v>
                </c:pt>
                <c:pt idx="5">
                  <c:v>2048.1553851775279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3522778247760368"/>
          <c:y val="0.33250889093409169"/>
          <c:w val="0.25154907702652873"/>
          <c:h val="0.42111394330935986"/>
        </c:manualLayout>
      </c:layout>
      <c:overlay val="0"/>
      <c:txPr>
        <a:bodyPr/>
        <a:lstStyle/>
        <a:p>
          <a:pPr>
            <a:defRPr sz="1200"/>
          </a:pPr>
          <a:endParaRPr lang="pl-PL"/>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a:t>Zużycie energii przez budynki użyteczności publicznej w podziale na nośniki energii</a:t>
            </a:r>
          </a:p>
          <a:p>
            <a:pPr>
              <a:defRPr/>
            </a:pPr>
            <a:endParaRPr lang="en-US"/>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0"/>
          <c:y val="0.37253797439490488"/>
          <c:w val="0.85829522553462234"/>
          <c:h val="0.57923694229653278"/>
        </c:manualLayout>
      </c:layout>
      <c:pie3DChart>
        <c:varyColors val="1"/>
        <c:ser>
          <c:idx val="0"/>
          <c:order val="0"/>
          <c:explosion val="63"/>
          <c:dPt>
            <c:idx val="0"/>
            <c:bubble3D val="0"/>
            <c:explosion val="0"/>
          </c:dPt>
          <c:dPt>
            <c:idx val="1"/>
            <c:bubble3D val="0"/>
            <c:explosion val="25"/>
          </c:dPt>
          <c:dLbls>
            <c:dLbl>
              <c:idx val="0"/>
              <c:layout>
                <c:manualLayout>
                  <c:x val="0.11221013680572495"/>
                  <c:y val="2.431547411690937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829360313068441"/>
                  <c:y val="-5.134442987122893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7619438713167096E-3"/>
                  <c:y val="1.218941787463477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6864534853958269E-2"/>
                  <c:y val="-4.80256708048829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('emisja CO2'!$A$20;'emisja CO2'!$A$23)</c:f>
              <c:strCache>
                <c:ptCount val="2"/>
                <c:pt idx="0">
                  <c:v>gaz ziemny</c:v>
                </c:pt>
                <c:pt idx="1">
                  <c:v>energia elektryczna</c:v>
                </c:pt>
              </c:strCache>
            </c:strRef>
          </c:cat>
          <c:val>
            <c:numRef>
              <c:f>('emisja CO2'!$B$20;'emisja CO2'!$B$23)</c:f>
              <c:numCache>
                <c:formatCode>0.00</c:formatCode>
                <c:ptCount val="2"/>
                <c:pt idx="0">
                  <c:v>4142.804436288</c:v>
                </c:pt>
                <c:pt idx="1">
                  <c:v>13351.755599999948</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2114963241535746"/>
          <c:y val="0.40608911303702488"/>
          <c:w val="0.25181465261026037"/>
          <c:h val="0.47490539953282085"/>
        </c:manualLayout>
      </c:layout>
      <c:overlay val="0"/>
      <c:txPr>
        <a:bodyPr/>
        <a:lstStyle/>
        <a:p>
          <a:pPr>
            <a:defRPr sz="1200" b="1"/>
          </a:pPr>
          <a:endParaRPr lang="pl-PL"/>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Emisja CO</a:t>
            </a:r>
            <a:r>
              <a:rPr lang="pl-PL" sz="1800" b="1" i="0" baseline="-25000"/>
              <a:t>2</a:t>
            </a:r>
            <a:r>
              <a:rPr lang="pl-PL" sz="1800" b="1" i="0" baseline="0"/>
              <a:t> przez budynki użyteczności publicznej w podziale na nośniki energii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5867420662808662"/>
          <c:y val="4.8309164106046194E-2"/>
        </c:manualLayout>
      </c:layout>
      <c:overlay val="0"/>
    </c:title>
    <c:autoTitleDeleted val="0"/>
    <c:view3D>
      <c:rotX val="30"/>
      <c:rotY val="347"/>
      <c:rAngAx val="0"/>
      <c:perspective val="30"/>
    </c:view3D>
    <c:floor>
      <c:thickness val="0"/>
    </c:floor>
    <c:sideWall>
      <c:thickness val="0"/>
    </c:sideWall>
    <c:backWall>
      <c:thickness val="0"/>
    </c:backWall>
    <c:plotArea>
      <c:layout>
        <c:manualLayout>
          <c:layoutTarget val="inner"/>
          <c:xMode val="edge"/>
          <c:yMode val="edge"/>
          <c:x val="1.9537345242662475E-3"/>
          <c:y val="0.27988089155043738"/>
          <c:w val="0.78543889842670611"/>
          <c:h val="0.5610087857631797"/>
        </c:manualLayout>
      </c:layout>
      <c:pie3DChart>
        <c:varyColors val="1"/>
        <c:ser>
          <c:idx val="0"/>
          <c:order val="0"/>
          <c:explosion val="22"/>
          <c:dLbls>
            <c:dLbl>
              <c:idx val="0"/>
              <c:layout>
                <c:manualLayout>
                  <c:x val="-4.1190735599058092E-3"/>
                  <c:y val="6.782948752309073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8288366389796842E-3"/>
                  <c:y val="-0.1989285333471672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0634018741307326E-2"/>
                  <c:y val="-2.812473296973017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('emisja CO2'!$A$20;'emisja CO2'!$A$23)</c:f>
              <c:strCache>
                <c:ptCount val="2"/>
                <c:pt idx="0">
                  <c:v>gaz ziemny</c:v>
                </c:pt>
                <c:pt idx="1">
                  <c:v>energia elektryczna</c:v>
                </c:pt>
              </c:strCache>
            </c:strRef>
          </c:cat>
          <c:val>
            <c:numRef>
              <c:f>('emisja CO2'!$C$20;'emisja CO2'!$C$23)</c:f>
              <c:numCache>
                <c:formatCode>0.00</c:formatCode>
                <c:ptCount val="2"/>
                <c:pt idx="0">
                  <c:v>231.25134363359621</c:v>
                </c:pt>
                <c:pt idx="1">
                  <c:v>3083.8549909320022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179725339030677"/>
          <c:y val="0.41289919166571432"/>
          <c:w val="0.24588361957811131"/>
          <c:h val="0.37285293127473562"/>
        </c:manualLayout>
      </c:layout>
      <c:overlay val="0"/>
      <c:txPr>
        <a:bodyPr/>
        <a:lstStyle/>
        <a:p>
          <a:pPr rtl="0">
            <a:defRPr sz="1200" b="1"/>
          </a:pPr>
          <a:endParaRPr lang="pl-PL"/>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pl-PL" sz="1800" b="1" i="0" baseline="0"/>
              <a:t>Zużycie energii przez obiekty sakralne</a:t>
            </a:r>
            <a:endParaRPr lang="pl-PL"/>
          </a:p>
          <a:p>
            <a:pPr>
              <a:defRPr/>
            </a:pPr>
            <a:r>
              <a:rPr lang="pl-PL" sz="1800" b="1" i="0" baseline="0"/>
              <a:t> w podziale na nośniki energii</a:t>
            </a:r>
          </a:p>
          <a:p>
            <a:pPr>
              <a:defRPr/>
            </a:pPr>
            <a:endParaRPr lang="en-US"/>
          </a:p>
        </c:rich>
      </c:tx>
      <c:layout>
        <c:manualLayout>
          <c:xMode val="edge"/>
          <c:yMode val="edge"/>
          <c:x val="0.17679141298324341"/>
          <c:y val="1.8768768768768901E-2"/>
        </c:manualLayout>
      </c:layout>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7.1704651177801434E-2"/>
          <c:y val="0.32237887493793493"/>
          <c:w val="0.63854569999806365"/>
          <c:h val="0.59081896857487404"/>
        </c:manualLayout>
      </c:layout>
      <c:pie3DChart>
        <c:varyColors val="1"/>
        <c:ser>
          <c:idx val="0"/>
          <c:order val="0"/>
          <c:tx>
            <c:strRef>
              <c:f>'[ankieta - obiekty sakralne Brody.xlsx]emisja CO2'!$B$19</c:f>
              <c:strCache>
                <c:ptCount val="1"/>
                <c:pt idx="0">
                  <c:v>Zużycie energii  [GJ]</c:v>
                </c:pt>
              </c:strCache>
            </c:strRef>
          </c:tx>
          <c:explosion val="25"/>
          <c:dLbls>
            <c:dLbl>
              <c:idx val="0"/>
              <c:layout>
                <c:manualLayout>
                  <c:x val="-4.7176403223174103E-2"/>
                  <c:y val="0.1008058195515495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obiekty sakralne Brody.xlsx]emisja CO2'!$A$24;'[ankieta - obiekty sakralne Brody.xlsx]emisja CO2'!$A$27</c:f>
              <c:strCache>
                <c:ptCount val="2"/>
                <c:pt idx="0">
                  <c:v>gaz ziemny</c:v>
                </c:pt>
                <c:pt idx="1">
                  <c:v>energia elektryczna</c:v>
                </c:pt>
              </c:strCache>
            </c:strRef>
          </c:cat>
          <c:val>
            <c:numRef>
              <c:f>'[ankieta - obiekty sakralne Brody.xlsx]emisja CO2'!$B$24;'[ankieta - obiekty sakralne Brody.xlsx]emisja CO2'!$B$27</c:f>
              <c:numCache>
                <c:formatCode>0.00</c:formatCode>
                <c:ptCount val="2"/>
                <c:pt idx="0">
                  <c:v>345.88511999999747</c:v>
                </c:pt>
                <c:pt idx="1">
                  <c:v>88.2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2688202237825361"/>
          <c:y val="0.45781242923305226"/>
          <c:w val="0.2250762432532766"/>
          <c:h val="0.20361456572102909"/>
        </c:manualLayout>
      </c:layout>
      <c:overlay val="0"/>
      <c:txPr>
        <a:bodyPr/>
        <a:lstStyle/>
        <a:p>
          <a:pPr>
            <a:defRPr sz="1100" b="1"/>
          </a:pPr>
          <a:endParaRPr lang="pl-PL"/>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t>Emisja CO</a:t>
            </a:r>
            <a:r>
              <a:rPr lang="pl-PL" sz="1800" b="1" i="0" baseline="-25000"/>
              <a:t>2</a:t>
            </a:r>
            <a:r>
              <a:rPr lang="pl-PL" sz="1800" b="1" i="0" baseline="0"/>
              <a:t> przez obiekty sakralne</a:t>
            </a:r>
            <a:endParaRPr lang="pl-PL"/>
          </a:p>
          <a:p>
            <a:pPr>
              <a:defRPr/>
            </a:pPr>
            <a:r>
              <a:rPr lang="pl-PL" sz="1800" b="1" i="0" baseline="0"/>
              <a:t> w podziale na nośniki energii</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311963011685494E-2"/>
          <c:y val="0.2777219048969784"/>
          <c:w val="0.73325474371889865"/>
          <c:h val="0.64941738906609148"/>
        </c:manualLayout>
      </c:layout>
      <c:pie3DChart>
        <c:varyColors val="1"/>
        <c:ser>
          <c:idx val="0"/>
          <c:order val="0"/>
          <c:tx>
            <c:strRef>
              <c:f>'[ankieta - obiekty sakralne Brody.xlsx]emisja CO2'!$C$19</c:f>
              <c:strCache>
                <c:ptCount val="1"/>
                <c:pt idx="0">
                  <c:v>Emisja CO2 [Mg CO2]</c:v>
                </c:pt>
              </c:strCache>
            </c:strRef>
          </c:tx>
          <c:explosion val="25"/>
          <c:dPt>
            <c:idx val="0"/>
            <c:bubble3D val="0"/>
            <c:explosion val="8"/>
          </c:dPt>
          <c:dPt>
            <c:idx val="1"/>
            <c:bubble3D val="0"/>
            <c:explosion val="6"/>
          </c:dPt>
          <c:dLbls>
            <c:dLbl>
              <c:idx val="0"/>
              <c:layout>
                <c:manualLayout>
                  <c:x val="-0.16200645261825269"/>
                  <c:y val="3.442016519876341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903204271747752"/>
                  <c:y val="-7.199268267251929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'[ankieta - obiekty sakralne Brody.xlsx]emisja CO2'!$A$24;'[ankieta - obiekty sakralne Brody.xlsx]emisja CO2'!$A$27</c:f>
              <c:strCache>
                <c:ptCount val="2"/>
                <c:pt idx="0">
                  <c:v>gaz ziemny</c:v>
                </c:pt>
                <c:pt idx="1">
                  <c:v>energia elektryczna</c:v>
                </c:pt>
              </c:strCache>
            </c:strRef>
          </c:cat>
          <c:val>
            <c:numRef>
              <c:f>'[ankieta - obiekty sakralne Brody.xlsx]emisja CO2'!$C$24;'[ankieta - obiekty sakralne Brody.xlsx]emisja CO2'!$C$27</c:f>
              <c:numCache>
                <c:formatCode>0.00</c:formatCode>
                <c:ptCount val="2"/>
                <c:pt idx="0">
                  <c:v>19.307307398399999</c:v>
                </c:pt>
                <c:pt idx="1">
                  <c:v>20.371554000000035</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6169328723529106"/>
          <c:y val="0.47910273605345138"/>
          <c:w val="0.22430233575365235"/>
          <c:h val="0.25928033467939393"/>
        </c:manualLayout>
      </c:layout>
      <c:overlay val="0"/>
      <c:txPr>
        <a:bodyPr/>
        <a:lstStyle/>
        <a:p>
          <a:pPr rtl="0">
            <a:defRPr sz="1100" b="1"/>
          </a:pPr>
          <a:endParaRPr lang="pl-PL"/>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a:t>Zuż</a:t>
            </a:r>
            <a:r>
              <a:rPr lang="pl-PL" sz="1800" b="1"/>
              <a:t>ycie</a:t>
            </a:r>
            <a:r>
              <a:rPr lang="pl-PL" sz="1800" b="1" baseline="0"/>
              <a:t> energii przez transport w podziale na nośniki energii</a:t>
            </a:r>
            <a:endParaRPr lang="en-US" b="1"/>
          </a:p>
        </c:rich>
      </c:tx>
      <c:overlay val="1"/>
    </c:title>
    <c:autoTitleDeleted val="0"/>
    <c:view3D>
      <c:rotX val="30"/>
      <c:rotY val="44"/>
      <c:rAngAx val="0"/>
      <c:perspective val="30"/>
    </c:view3D>
    <c:floor>
      <c:thickness val="0"/>
    </c:floor>
    <c:sideWall>
      <c:thickness val="0"/>
    </c:sideWall>
    <c:backWall>
      <c:thickness val="0"/>
    </c:backWall>
    <c:plotArea>
      <c:layout>
        <c:manualLayout>
          <c:layoutTarget val="inner"/>
          <c:xMode val="edge"/>
          <c:yMode val="edge"/>
          <c:x val="1.0599658090903069E-2"/>
          <c:y val="0.29964597313979846"/>
          <c:w val="0.7206868210816717"/>
          <c:h val="0.66673102466382195"/>
        </c:manualLayout>
      </c:layout>
      <c:pie3DChart>
        <c:varyColors val="1"/>
        <c:ser>
          <c:idx val="0"/>
          <c:order val="0"/>
          <c:tx>
            <c:strRef>
              <c:f>'[Ankieta_Mieszkańcy_Brody.xls]emisja CO2'!$B$38</c:f>
              <c:strCache>
                <c:ptCount val="1"/>
                <c:pt idx="0">
                  <c:v>Zużycie energii  [GJ]</c:v>
                </c:pt>
              </c:strCache>
            </c:strRef>
          </c:tx>
          <c:explosion val="35"/>
          <c:dLbls>
            <c:dLbl>
              <c:idx val="2"/>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2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'[Ankieta_Mieszkańcy_Brody.xls]emisja CO2'!$A$39:$A$41</c:f>
              <c:strCache>
                <c:ptCount val="3"/>
                <c:pt idx="0">
                  <c:v>benzyna </c:v>
                </c:pt>
                <c:pt idx="1">
                  <c:v>olej napędowy </c:v>
                </c:pt>
                <c:pt idx="2">
                  <c:v>LPG</c:v>
                </c:pt>
              </c:strCache>
            </c:strRef>
          </c:cat>
          <c:val>
            <c:numRef>
              <c:f>'[Ankieta_Mieszkańcy_Brody.xls]emisja CO2'!$B$39:$B$41</c:f>
              <c:numCache>
                <c:formatCode>0.00</c:formatCode>
                <c:ptCount val="3"/>
                <c:pt idx="0">
                  <c:v>18155.72224719101</c:v>
                </c:pt>
                <c:pt idx="1">
                  <c:v>5346.0943483145975</c:v>
                </c:pt>
                <c:pt idx="2">
                  <c:v>6801.502481797781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42324271509857"/>
          <c:y val="0.40923768762642265"/>
          <c:w val="0.21138417916738544"/>
          <c:h val="0.4413863829935184"/>
        </c:manualLayout>
      </c:layout>
      <c:overlay val="0"/>
      <c:txPr>
        <a:bodyPr/>
        <a:lstStyle/>
        <a:p>
          <a:pPr>
            <a:defRPr sz="1100" b="0" i="0" u="none" strike="noStrike" baseline="0">
              <a:solidFill>
                <a:srgbClr val="333333"/>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333333"/>
          </a:solidFill>
          <a:latin typeface="Calibri"/>
          <a:ea typeface="Calibri"/>
          <a:cs typeface="Calibri"/>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592885-283F-406D-9D73-5767B1180DE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pl-PL"/>
        </a:p>
      </dgm:t>
    </dgm:pt>
    <dgm:pt modelId="{35DABA65-01FB-4783-B8FE-77AA74E39A35}">
      <dgm:prSet phldrT="[Tekst]" custT="1"/>
      <dgm:spPr/>
      <dgm:t>
        <a:bodyPr/>
        <a:lstStyle/>
        <a:p>
          <a:pPr algn="ctr"/>
          <a:r>
            <a:rPr lang="pl-PL" sz="2200" b="1"/>
            <a:t>Wójt Gminy Brody</a:t>
          </a:r>
        </a:p>
      </dgm:t>
    </dgm:pt>
    <dgm:pt modelId="{342D4861-CBD8-4C19-B2EB-EFEC7B8ABA9C}" type="parTrans" cxnId="{347CC1B3-01C3-4E31-9A38-DC40CA8FA0F9}">
      <dgm:prSet/>
      <dgm:spPr/>
      <dgm:t>
        <a:bodyPr/>
        <a:lstStyle/>
        <a:p>
          <a:endParaRPr lang="pl-PL"/>
        </a:p>
      </dgm:t>
    </dgm:pt>
    <dgm:pt modelId="{64FEFBF3-655F-4270-B86E-3CED259F9E77}" type="sibTrans" cxnId="{347CC1B3-01C3-4E31-9A38-DC40CA8FA0F9}">
      <dgm:prSet/>
      <dgm:spPr/>
      <dgm:t>
        <a:bodyPr/>
        <a:lstStyle/>
        <a:p>
          <a:endParaRPr lang="pl-PL"/>
        </a:p>
      </dgm:t>
    </dgm:pt>
    <dgm:pt modelId="{661B3149-DF03-4D6C-80E4-BBB9F371E2A6}">
      <dgm:prSet phldrT="[Tekst]" custT="1"/>
      <dgm:spPr/>
      <dgm:t>
        <a:bodyPr/>
        <a:lstStyle/>
        <a:p>
          <a:pPr algn="ctr"/>
          <a:r>
            <a:rPr lang="pl-PL" sz="2200" b="1"/>
            <a:t>Koordynator monitoringu</a:t>
          </a:r>
        </a:p>
      </dgm:t>
    </dgm:pt>
    <dgm:pt modelId="{EAF3608A-7219-40B6-9136-9CF22B609EFA}" type="parTrans" cxnId="{2B76D374-58F2-4F30-B91D-8385E5F3ADF4}">
      <dgm:prSet/>
      <dgm:spPr/>
      <dgm:t>
        <a:bodyPr/>
        <a:lstStyle/>
        <a:p>
          <a:endParaRPr lang="pl-PL"/>
        </a:p>
      </dgm:t>
    </dgm:pt>
    <dgm:pt modelId="{C9D0E6A3-4335-4A26-BD7D-FACAD6EDD26A}" type="sibTrans" cxnId="{2B76D374-58F2-4F30-B91D-8385E5F3ADF4}">
      <dgm:prSet/>
      <dgm:spPr/>
      <dgm:t>
        <a:bodyPr/>
        <a:lstStyle/>
        <a:p>
          <a:endParaRPr lang="pl-PL"/>
        </a:p>
      </dgm:t>
    </dgm:pt>
    <dgm:pt modelId="{46FD338D-7DB7-45E0-A2AC-C2673A198291}">
      <dgm:prSet phldrT="[Tekst]" custT="1"/>
      <dgm:spPr/>
      <dgm:t>
        <a:bodyPr/>
        <a:lstStyle/>
        <a:p>
          <a:pPr algn="ctr"/>
          <a:r>
            <a:rPr lang="pl-PL" sz="2200" b="1"/>
            <a:t>Inwentaryzacja</a:t>
          </a:r>
        </a:p>
      </dgm:t>
    </dgm:pt>
    <dgm:pt modelId="{FCAB6849-EB31-488D-A62D-EB77E5762D99}" type="parTrans" cxnId="{4B976634-E62D-40EF-A758-3E473A3A6138}">
      <dgm:prSet/>
      <dgm:spPr/>
      <dgm:t>
        <a:bodyPr/>
        <a:lstStyle/>
        <a:p>
          <a:endParaRPr lang="pl-PL"/>
        </a:p>
      </dgm:t>
    </dgm:pt>
    <dgm:pt modelId="{EEF5597D-C942-499A-9156-3E0B28A6723C}" type="sibTrans" cxnId="{4B976634-E62D-40EF-A758-3E473A3A6138}">
      <dgm:prSet/>
      <dgm:spPr/>
      <dgm:t>
        <a:bodyPr/>
        <a:lstStyle/>
        <a:p>
          <a:endParaRPr lang="pl-PL"/>
        </a:p>
      </dgm:t>
    </dgm:pt>
    <dgm:pt modelId="{78BD5409-94CC-4940-A472-51EC841C2104}">
      <dgm:prSet phldrT="[Tekst]" custT="1"/>
      <dgm:spPr/>
      <dgm:t>
        <a:bodyPr/>
        <a:lstStyle/>
        <a:p>
          <a:pPr algn="ctr"/>
          <a:r>
            <a:rPr lang="pl-PL" sz="1600" b="0"/>
            <a:t>Zbieranie danych</a:t>
          </a:r>
        </a:p>
      </dgm:t>
    </dgm:pt>
    <dgm:pt modelId="{B4678578-2358-485B-8ED3-EBBE82790D08}" type="parTrans" cxnId="{786D5104-FCCB-4908-823F-6C6BEAAA7E8D}">
      <dgm:prSet/>
      <dgm:spPr/>
      <dgm:t>
        <a:bodyPr/>
        <a:lstStyle/>
        <a:p>
          <a:endParaRPr lang="pl-PL"/>
        </a:p>
      </dgm:t>
    </dgm:pt>
    <dgm:pt modelId="{092B3133-EB2C-46FE-9A79-0CDDE4BA6CCF}" type="sibTrans" cxnId="{786D5104-FCCB-4908-823F-6C6BEAAA7E8D}">
      <dgm:prSet/>
      <dgm:spPr/>
      <dgm:t>
        <a:bodyPr/>
        <a:lstStyle/>
        <a:p>
          <a:endParaRPr lang="pl-PL"/>
        </a:p>
      </dgm:t>
    </dgm:pt>
    <dgm:pt modelId="{901DD0DD-A38C-4FF6-83CA-10C04774247E}">
      <dgm:prSet custT="1"/>
      <dgm:spPr/>
      <dgm:t>
        <a:bodyPr/>
        <a:lstStyle/>
        <a:p>
          <a:pPr algn="ctr"/>
          <a:r>
            <a:rPr lang="pl-PL" sz="2200" b="1"/>
            <a:t>Monitoring</a:t>
          </a:r>
        </a:p>
      </dgm:t>
    </dgm:pt>
    <dgm:pt modelId="{88B3AFFA-9AC3-440F-81C2-BD95E82F64CB}" type="parTrans" cxnId="{D3B1A5C6-3ECF-4791-AA67-58632DCCEDE6}">
      <dgm:prSet/>
      <dgm:spPr/>
      <dgm:t>
        <a:bodyPr/>
        <a:lstStyle/>
        <a:p>
          <a:endParaRPr lang="pl-PL"/>
        </a:p>
      </dgm:t>
    </dgm:pt>
    <dgm:pt modelId="{DD5E84A0-3238-4113-BE7F-C3DE2BE66D15}" type="sibTrans" cxnId="{D3B1A5C6-3ECF-4791-AA67-58632DCCEDE6}">
      <dgm:prSet/>
      <dgm:spPr/>
      <dgm:t>
        <a:bodyPr/>
        <a:lstStyle/>
        <a:p>
          <a:endParaRPr lang="pl-PL"/>
        </a:p>
      </dgm:t>
    </dgm:pt>
    <dgm:pt modelId="{B541AB61-B0C8-4167-8878-637AE5B84348}">
      <dgm:prSet/>
      <dgm:spPr/>
      <dgm:t>
        <a:bodyPr/>
        <a:lstStyle/>
        <a:p>
          <a:pPr algn="ctr"/>
          <a:r>
            <a:rPr lang="pl-PL" sz="1600" b="0"/>
            <a:t>Weryfikacja danych</a:t>
          </a:r>
        </a:p>
      </dgm:t>
    </dgm:pt>
    <dgm:pt modelId="{FAC6E22E-B3C7-4045-A032-CB8AF17C4A49}" type="parTrans" cxnId="{947196A9-425D-4CFB-940D-C9F8BE32DBC2}">
      <dgm:prSet/>
      <dgm:spPr/>
      <dgm:t>
        <a:bodyPr/>
        <a:lstStyle/>
        <a:p>
          <a:endParaRPr lang="pl-PL"/>
        </a:p>
      </dgm:t>
    </dgm:pt>
    <dgm:pt modelId="{8E89C845-4D52-4DEC-BD59-F13A37F22F23}" type="sibTrans" cxnId="{947196A9-425D-4CFB-940D-C9F8BE32DBC2}">
      <dgm:prSet/>
      <dgm:spPr/>
      <dgm:t>
        <a:bodyPr/>
        <a:lstStyle/>
        <a:p>
          <a:endParaRPr lang="pl-PL"/>
        </a:p>
      </dgm:t>
    </dgm:pt>
    <dgm:pt modelId="{E2994DD2-F5D8-4192-94D5-0F8D954B7B74}">
      <dgm:prSet/>
      <dgm:spPr/>
      <dgm:t>
        <a:bodyPr/>
        <a:lstStyle/>
        <a:p>
          <a:pPr algn="ctr"/>
          <a:r>
            <a:rPr lang="pl-PL" sz="1600" b="0"/>
            <a:t>Analiza projektu</a:t>
          </a:r>
        </a:p>
      </dgm:t>
    </dgm:pt>
    <dgm:pt modelId="{DE9E3272-D0DD-4A49-ADC8-B2B2D48C7780}" type="parTrans" cxnId="{30A31CA2-2A56-421A-BCEC-DA1DE75F957C}">
      <dgm:prSet/>
      <dgm:spPr/>
      <dgm:t>
        <a:bodyPr/>
        <a:lstStyle/>
        <a:p>
          <a:endParaRPr lang="pl-PL"/>
        </a:p>
      </dgm:t>
    </dgm:pt>
    <dgm:pt modelId="{DD276900-70F4-483A-8678-FBB40605DA6A}" type="sibTrans" cxnId="{30A31CA2-2A56-421A-BCEC-DA1DE75F957C}">
      <dgm:prSet/>
      <dgm:spPr/>
      <dgm:t>
        <a:bodyPr/>
        <a:lstStyle/>
        <a:p>
          <a:endParaRPr lang="pl-PL"/>
        </a:p>
      </dgm:t>
    </dgm:pt>
    <dgm:pt modelId="{91262CC7-96B5-4A7F-A37E-3561C260FAED}">
      <dgm:prSet custT="1"/>
      <dgm:spPr/>
      <dgm:t>
        <a:bodyPr/>
        <a:lstStyle/>
        <a:p>
          <a:pPr algn="ctr"/>
          <a:r>
            <a:rPr lang="pl-PL" sz="2200" b="1"/>
            <a:t>Aktualizacja Planu</a:t>
          </a:r>
        </a:p>
      </dgm:t>
    </dgm:pt>
    <dgm:pt modelId="{0E3A5B68-438B-4BF6-8B0E-5129159D5956}" type="parTrans" cxnId="{DC947729-2DA5-4C96-95C0-9766D701F66B}">
      <dgm:prSet/>
      <dgm:spPr/>
      <dgm:t>
        <a:bodyPr/>
        <a:lstStyle/>
        <a:p>
          <a:endParaRPr lang="pl-PL"/>
        </a:p>
      </dgm:t>
    </dgm:pt>
    <dgm:pt modelId="{88AEF5A0-5D0A-4AB0-B636-57DE81692197}" type="sibTrans" cxnId="{DC947729-2DA5-4C96-95C0-9766D701F66B}">
      <dgm:prSet/>
      <dgm:spPr/>
      <dgm:t>
        <a:bodyPr/>
        <a:lstStyle/>
        <a:p>
          <a:endParaRPr lang="pl-PL"/>
        </a:p>
      </dgm:t>
    </dgm:pt>
    <dgm:pt modelId="{8817BC22-1806-4ACD-9BF1-6D750234AFF0}" type="pres">
      <dgm:prSet presAssocID="{92592885-283F-406D-9D73-5767B1180DEA}" presName="outerComposite" presStyleCnt="0">
        <dgm:presLayoutVars>
          <dgm:chMax val="5"/>
          <dgm:dir/>
          <dgm:resizeHandles val="exact"/>
        </dgm:presLayoutVars>
      </dgm:prSet>
      <dgm:spPr/>
      <dgm:t>
        <a:bodyPr/>
        <a:lstStyle/>
        <a:p>
          <a:endParaRPr lang="pl-PL"/>
        </a:p>
      </dgm:t>
    </dgm:pt>
    <dgm:pt modelId="{5331EE87-EAE2-44E1-953A-0A97631F81CE}" type="pres">
      <dgm:prSet presAssocID="{92592885-283F-406D-9D73-5767B1180DEA}" presName="dummyMaxCanvas" presStyleCnt="0">
        <dgm:presLayoutVars/>
      </dgm:prSet>
      <dgm:spPr/>
    </dgm:pt>
    <dgm:pt modelId="{35DE5209-4DDA-4BE9-BE1C-5A0331EE42C1}" type="pres">
      <dgm:prSet presAssocID="{92592885-283F-406D-9D73-5767B1180DEA}" presName="FiveNodes_1" presStyleLbl="node1" presStyleIdx="0" presStyleCnt="5">
        <dgm:presLayoutVars>
          <dgm:bulletEnabled val="1"/>
        </dgm:presLayoutVars>
      </dgm:prSet>
      <dgm:spPr/>
      <dgm:t>
        <a:bodyPr/>
        <a:lstStyle/>
        <a:p>
          <a:endParaRPr lang="pl-PL"/>
        </a:p>
      </dgm:t>
    </dgm:pt>
    <dgm:pt modelId="{58F7FAB4-F21B-4B2F-81DF-4877AADAEDC4}" type="pres">
      <dgm:prSet presAssocID="{92592885-283F-406D-9D73-5767B1180DEA}" presName="FiveNodes_2" presStyleLbl="node1" presStyleIdx="1" presStyleCnt="5">
        <dgm:presLayoutVars>
          <dgm:bulletEnabled val="1"/>
        </dgm:presLayoutVars>
      </dgm:prSet>
      <dgm:spPr/>
      <dgm:t>
        <a:bodyPr/>
        <a:lstStyle/>
        <a:p>
          <a:endParaRPr lang="pl-PL"/>
        </a:p>
      </dgm:t>
    </dgm:pt>
    <dgm:pt modelId="{80C43BE2-CF88-42E1-B92C-6CE5BA11016F}" type="pres">
      <dgm:prSet presAssocID="{92592885-283F-406D-9D73-5767B1180DEA}" presName="FiveNodes_3" presStyleLbl="node1" presStyleIdx="2" presStyleCnt="5">
        <dgm:presLayoutVars>
          <dgm:bulletEnabled val="1"/>
        </dgm:presLayoutVars>
      </dgm:prSet>
      <dgm:spPr/>
      <dgm:t>
        <a:bodyPr/>
        <a:lstStyle/>
        <a:p>
          <a:endParaRPr lang="pl-PL"/>
        </a:p>
      </dgm:t>
    </dgm:pt>
    <dgm:pt modelId="{B77A33D3-64AE-41B0-ADA8-5621E8915911}" type="pres">
      <dgm:prSet presAssocID="{92592885-283F-406D-9D73-5767B1180DEA}" presName="FiveNodes_4" presStyleLbl="node1" presStyleIdx="3" presStyleCnt="5">
        <dgm:presLayoutVars>
          <dgm:bulletEnabled val="1"/>
        </dgm:presLayoutVars>
      </dgm:prSet>
      <dgm:spPr/>
      <dgm:t>
        <a:bodyPr/>
        <a:lstStyle/>
        <a:p>
          <a:endParaRPr lang="pl-PL"/>
        </a:p>
      </dgm:t>
    </dgm:pt>
    <dgm:pt modelId="{62BA4EC3-21B4-4034-A13F-5B176E5B5100}" type="pres">
      <dgm:prSet presAssocID="{92592885-283F-406D-9D73-5767B1180DEA}" presName="FiveNodes_5" presStyleLbl="node1" presStyleIdx="4" presStyleCnt="5">
        <dgm:presLayoutVars>
          <dgm:bulletEnabled val="1"/>
        </dgm:presLayoutVars>
      </dgm:prSet>
      <dgm:spPr/>
      <dgm:t>
        <a:bodyPr/>
        <a:lstStyle/>
        <a:p>
          <a:endParaRPr lang="pl-PL"/>
        </a:p>
      </dgm:t>
    </dgm:pt>
    <dgm:pt modelId="{962B217C-4BC2-4272-B23A-41463D39C006}" type="pres">
      <dgm:prSet presAssocID="{92592885-283F-406D-9D73-5767B1180DEA}" presName="FiveConn_1-2" presStyleLbl="fgAccFollowNode1" presStyleIdx="0" presStyleCnt="4">
        <dgm:presLayoutVars>
          <dgm:bulletEnabled val="1"/>
        </dgm:presLayoutVars>
      </dgm:prSet>
      <dgm:spPr/>
      <dgm:t>
        <a:bodyPr/>
        <a:lstStyle/>
        <a:p>
          <a:endParaRPr lang="pl-PL"/>
        </a:p>
      </dgm:t>
    </dgm:pt>
    <dgm:pt modelId="{E68257ED-FD11-4672-A17A-7EA0FE66930B}" type="pres">
      <dgm:prSet presAssocID="{92592885-283F-406D-9D73-5767B1180DEA}" presName="FiveConn_2-3" presStyleLbl="fgAccFollowNode1" presStyleIdx="1" presStyleCnt="4">
        <dgm:presLayoutVars>
          <dgm:bulletEnabled val="1"/>
        </dgm:presLayoutVars>
      </dgm:prSet>
      <dgm:spPr/>
      <dgm:t>
        <a:bodyPr/>
        <a:lstStyle/>
        <a:p>
          <a:endParaRPr lang="pl-PL"/>
        </a:p>
      </dgm:t>
    </dgm:pt>
    <dgm:pt modelId="{CE271027-80A2-4DE9-9573-EBF1C46335E5}" type="pres">
      <dgm:prSet presAssocID="{92592885-283F-406D-9D73-5767B1180DEA}" presName="FiveConn_3-4" presStyleLbl="fgAccFollowNode1" presStyleIdx="2" presStyleCnt="4">
        <dgm:presLayoutVars>
          <dgm:bulletEnabled val="1"/>
        </dgm:presLayoutVars>
      </dgm:prSet>
      <dgm:spPr/>
      <dgm:t>
        <a:bodyPr/>
        <a:lstStyle/>
        <a:p>
          <a:endParaRPr lang="pl-PL"/>
        </a:p>
      </dgm:t>
    </dgm:pt>
    <dgm:pt modelId="{6D591144-FEF1-44C8-B760-BDD2B8A06A0A}" type="pres">
      <dgm:prSet presAssocID="{92592885-283F-406D-9D73-5767B1180DEA}" presName="FiveConn_4-5" presStyleLbl="fgAccFollowNode1" presStyleIdx="3" presStyleCnt="4">
        <dgm:presLayoutVars>
          <dgm:bulletEnabled val="1"/>
        </dgm:presLayoutVars>
      </dgm:prSet>
      <dgm:spPr/>
      <dgm:t>
        <a:bodyPr/>
        <a:lstStyle/>
        <a:p>
          <a:endParaRPr lang="pl-PL"/>
        </a:p>
      </dgm:t>
    </dgm:pt>
    <dgm:pt modelId="{014A8110-1C27-4155-8812-17B99A17A83A}" type="pres">
      <dgm:prSet presAssocID="{92592885-283F-406D-9D73-5767B1180DEA}" presName="FiveNodes_1_text" presStyleLbl="node1" presStyleIdx="4" presStyleCnt="5">
        <dgm:presLayoutVars>
          <dgm:bulletEnabled val="1"/>
        </dgm:presLayoutVars>
      </dgm:prSet>
      <dgm:spPr/>
      <dgm:t>
        <a:bodyPr/>
        <a:lstStyle/>
        <a:p>
          <a:endParaRPr lang="pl-PL"/>
        </a:p>
      </dgm:t>
    </dgm:pt>
    <dgm:pt modelId="{21D152C0-E182-4D00-831C-E6FA9262230D}" type="pres">
      <dgm:prSet presAssocID="{92592885-283F-406D-9D73-5767B1180DEA}" presName="FiveNodes_2_text" presStyleLbl="node1" presStyleIdx="4" presStyleCnt="5">
        <dgm:presLayoutVars>
          <dgm:bulletEnabled val="1"/>
        </dgm:presLayoutVars>
      </dgm:prSet>
      <dgm:spPr/>
      <dgm:t>
        <a:bodyPr/>
        <a:lstStyle/>
        <a:p>
          <a:endParaRPr lang="pl-PL"/>
        </a:p>
      </dgm:t>
    </dgm:pt>
    <dgm:pt modelId="{B2CEF5F1-2C76-4607-82B3-81521C5A79BC}" type="pres">
      <dgm:prSet presAssocID="{92592885-283F-406D-9D73-5767B1180DEA}" presName="FiveNodes_3_text" presStyleLbl="node1" presStyleIdx="4" presStyleCnt="5">
        <dgm:presLayoutVars>
          <dgm:bulletEnabled val="1"/>
        </dgm:presLayoutVars>
      </dgm:prSet>
      <dgm:spPr/>
      <dgm:t>
        <a:bodyPr/>
        <a:lstStyle/>
        <a:p>
          <a:endParaRPr lang="pl-PL"/>
        </a:p>
      </dgm:t>
    </dgm:pt>
    <dgm:pt modelId="{21722A3C-8EA3-4EC1-A76A-463866B37507}" type="pres">
      <dgm:prSet presAssocID="{92592885-283F-406D-9D73-5767B1180DEA}" presName="FiveNodes_4_text" presStyleLbl="node1" presStyleIdx="4" presStyleCnt="5">
        <dgm:presLayoutVars>
          <dgm:bulletEnabled val="1"/>
        </dgm:presLayoutVars>
      </dgm:prSet>
      <dgm:spPr/>
      <dgm:t>
        <a:bodyPr/>
        <a:lstStyle/>
        <a:p>
          <a:endParaRPr lang="pl-PL"/>
        </a:p>
      </dgm:t>
    </dgm:pt>
    <dgm:pt modelId="{9B06879E-FCB2-4581-A4AE-52BC532DED17}" type="pres">
      <dgm:prSet presAssocID="{92592885-283F-406D-9D73-5767B1180DEA}" presName="FiveNodes_5_text" presStyleLbl="node1" presStyleIdx="4" presStyleCnt="5">
        <dgm:presLayoutVars>
          <dgm:bulletEnabled val="1"/>
        </dgm:presLayoutVars>
      </dgm:prSet>
      <dgm:spPr/>
      <dgm:t>
        <a:bodyPr/>
        <a:lstStyle/>
        <a:p>
          <a:endParaRPr lang="pl-PL"/>
        </a:p>
      </dgm:t>
    </dgm:pt>
  </dgm:ptLst>
  <dgm:cxnLst>
    <dgm:cxn modelId="{0BACE6A2-E896-4C82-A886-A91F7BBEA055}" type="presOf" srcId="{35DABA65-01FB-4783-B8FE-77AA74E39A35}" destId="{35DE5209-4DDA-4BE9-BE1C-5A0331EE42C1}" srcOrd="0" destOrd="0" presId="urn:microsoft.com/office/officeart/2005/8/layout/vProcess5"/>
    <dgm:cxn modelId="{347CC1B3-01C3-4E31-9A38-DC40CA8FA0F9}" srcId="{92592885-283F-406D-9D73-5767B1180DEA}" destId="{35DABA65-01FB-4783-B8FE-77AA74E39A35}" srcOrd="0" destOrd="0" parTransId="{342D4861-CBD8-4C19-B2EB-EFEC7B8ABA9C}" sibTransId="{64FEFBF3-655F-4270-B86E-3CED259F9E77}"/>
    <dgm:cxn modelId="{D3B1A5C6-3ECF-4791-AA67-58632DCCEDE6}" srcId="{92592885-283F-406D-9D73-5767B1180DEA}" destId="{901DD0DD-A38C-4FF6-83CA-10C04774247E}" srcOrd="3" destOrd="0" parTransId="{88B3AFFA-9AC3-440F-81C2-BD95E82F64CB}" sibTransId="{DD5E84A0-3238-4113-BE7F-C3DE2BE66D15}"/>
    <dgm:cxn modelId="{786D5104-FCCB-4908-823F-6C6BEAAA7E8D}" srcId="{46FD338D-7DB7-45E0-A2AC-C2673A198291}" destId="{78BD5409-94CC-4940-A472-51EC841C2104}" srcOrd="0" destOrd="0" parTransId="{B4678578-2358-485B-8ED3-EBBE82790D08}" sibTransId="{092B3133-EB2C-46FE-9A79-0CDDE4BA6CCF}"/>
    <dgm:cxn modelId="{9E3EF3B2-4CFD-4AA9-8AFE-7FFEC77D0A3B}" type="presOf" srcId="{E2994DD2-F5D8-4192-94D5-0F8D954B7B74}" destId="{21722A3C-8EA3-4EC1-A76A-463866B37507}" srcOrd="1" destOrd="2" presId="urn:microsoft.com/office/officeart/2005/8/layout/vProcess5"/>
    <dgm:cxn modelId="{DC947729-2DA5-4C96-95C0-9766D701F66B}" srcId="{92592885-283F-406D-9D73-5767B1180DEA}" destId="{91262CC7-96B5-4A7F-A37E-3561C260FAED}" srcOrd="4" destOrd="0" parTransId="{0E3A5B68-438B-4BF6-8B0E-5129159D5956}" sibTransId="{88AEF5A0-5D0A-4AB0-B636-57DE81692197}"/>
    <dgm:cxn modelId="{DD2EA11B-30CA-4168-BE30-2274CE73C6ED}" type="presOf" srcId="{DD5E84A0-3238-4113-BE7F-C3DE2BE66D15}" destId="{6D591144-FEF1-44C8-B760-BDD2B8A06A0A}" srcOrd="0" destOrd="0" presId="urn:microsoft.com/office/officeart/2005/8/layout/vProcess5"/>
    <dgm:cxn modelId="{F439FB85-0D9F-4189-9F70-87B00CBFE61C}" type="presOf" srcId="{B541AB61-B0C8-4167-8878-637AE5B84348}" destId="{B77A33D3-64AE-41B0-ADA8-5621E8915911}" srcOrd="0" destOrd="1" presId="urn:microsoft.com/office/officeart/2005/8/layout/vProcess5"/>
    <dgm:cxn modelId="{3BAEC0B0-A609-4C0F-9B14-EEA5CF71F0DB}" type="presOf" srcId="{E2994DD2-F5D8-4192-94D5-0F8D954B7B74}" destId="{B77A33D3-64AE-41B0-ADA8-5621E8915911}" srcOrd="0" destOrd="2" presId="urn:microsoft.com/office/officeart/2005/8/layout/vProcess5"/>
    <dgm:cxn modelId="{979A838C-51F3-4320-8690-A15E42389D9C}" type="presOf" srcId="{78BD5409-94CC-4940-A472-51EC841C2104}" destId="{B2CEF5F1-2C76-4607-82B3-81521C5A79BC}" srcOrd="1" destOrd="1" presId="urn:microsoft.com/office/officeart/2005/8/layout/vProcess5"/>
    <dgm:cxn modelId="{1BF274BD-335F-4C3E-B293-8C3639A787E6}" type="presOf" srcId="{92592885-283F-406D-9D73-5767B1180DEA}" destId="{8817BC22-1806-4ACD-9BF1-6D750234AFF0}" srcOrd="0" destOrd="0" presId="urn:microsoft.com/office/officeart/2005/8/layout/vProcess5"/>
    <dgm:cxn modelId="{0223CCDB-1443-4D85-8169-C53665540F34}" type="presOf" srcId="{EEF5597D-C942-499A-9156-3E0B28A6723C}" destId="{CE271027-80A2-4DE9-9573-EBF1C46335E5}" srcOrd="0" destOrd="0" presId="urn:microsoft.com/office/officeart/2005/8/layout/vProcess5"/>
    <dgm:cxn modelId="{4F7524D8-0F9C-429E-9BB1-4887AB98C22E}" type="presOf" srcId="{46FD338D-7DB7-45E0-A2AC-C2673A198291}" destId="{80C43BE2-CF88-42E1-B92C-6CE5BA11016F}" srcOrd="0" destOrd="0" presId="urn:microsoft.com/office/officeart/2005/8/layout/vProcess5"/>
    <dgm:cxn modelId="{88237A61-B3A6-4F30-B6E5-F61503A70BA2}" type="presOf" srcId="{35DABA65-01FB-4783-B8FE-77AA74E39A35}" destId="{014A8110-1C27-4155-8812-17B99A17A83A}" srcOrd="1" destOrd="0" presId="urn:microsoft.com/office/officeart/2005/8/layout/vProcess5"/>
    <dgm:cxn modelId="{4B976634-E62D-40EF-A758-3E473A3A6138}" srcId="{92592885-283F-406D-9D73-5767B1180DEA}" destId="{46FD338D-7DB7-45E0-A2AC-C2673A198291}" srcOrd="2" destOrd="0" parTransId="{FCAB6849-EB31-488D-A62D-EB77E5762D99}" sibTransId="{EEF5597D-C942-499A-9156-3E0B28A6723C}"/>
    <dgm:cxn modelId="{4A4D6680-2798-453C-A033-F6FE709A6100}" type="presOf" srcId="{661B3149-DF03-4D6C-80E4-BBB9F371E2A6}" destId="{58F7FAB4-F21B-4B2F-81DF-4877AADAEDC4}" srcOrd="0" destOrd="0" presId="urn:microsoft.com/office/officeart/2005/8/layout/vProcess5"/>
    <dgm:cxn modelId="{33EF109D-720A-4488-9081-D9F0DC1768C0}" type="presOf" srcId="{661B3149-DF03-4D6C-80E4-BBB9F371E2A6}" destId="{21D152C0-E182-4D00-831C-E6FA9262230D}" srcOrd="1" destOrd="0" presId="urn:microsoft.com/office/officeart/2005/8/layout/vProcess5"/>
    <dgm:cxn modelId="{61F138D2-D8BD-4F77-8C0A-E42A8EEEE55D}" type="presOf" srcId="{901DD0DD-A38C-4FF6-83CA-10C04774247E}" destId="{21722A3C-8EA3-4EC1-A76A-463866B37507}" srcOrd="1" destOrd="0" presId="urn:microsoft.com/office/officeart/2005/8/layout/vProcess5"/>
    <dgm:cxn modelId="{30A31CA2-2A56-421A-BCEC-DA1DE75F957C}" srcId="{901DD0DD-A38C-4FF6-83CA-10C04774247E}" destId="{E2994DD2-F5D8-4192-94D5-0F8D954B7B74}" srcOrd="1" destOrd="0" parTransId="{DE9E3272-D0DD-4A49-ADC8-B2B2D48C7780}" sibTransId="{DD276900-70F4-483A-8678-FBB40605DA6A}"/>
    <dgm:cxn modelId="{0B875760-ECA3-462C-80F9-283EA45FF863}" type="presOf" srcId="{B541AB61-B0C8-4167-8878-637AE5B84348}" destId="{21722A3C-8EA3-4EC1-A76A-463866B37507}" srcOrd="1" destOrd="1" presId="urn:microsoft.com/office/officeart/2005/8/layout/vProcess5"/>
    <dgm:cxn modelId="{0BC1C6D7-8B00-4D36-A761-227187B4AE34}" type="presOf" srcId="{64FEFBF3-655F-4270-B86E-3CED259F9E77}" destId="{962B217C-4BC2-4272-B23A-41463D39C006}" srcOrd="0" destOrd="0" presId="urn:microsoft.com/office/officeart/2005/8/layout/vProcess5"/>
    <dgm:cxn modelId="{3CDF8FCE-97A7-4B4E-9F69-197901C2E274}" type="presOf" srcId="{901DD0DD-A38C-4FF6-83CA-10C04774247E}" destId="{B77A33D3-64AE-41B0-ADA8-5621E8915911}" srcOrd="0" destOrd="0" presId="urn:microsoft.com/office/officeart/2005/8/layout/vProcess5"/>
    <dgm:cxn modelId="{20B35224-F638-4E31-9255-7458A3202C4D}" type="presOf" srcId="{78BD5409-94CC-4940-A472-51EC841C2104}" destId="{80C43BE2-CF88-42E1-B92C-6CE5BA11016F}" srcOrd="0" destOrd="1" presId="urn:microsoft.com/office/officeart/2005/8/layout/vProcess5"/>
    <dgm:cxn modelId="{EADF3E3E-415A-4523-B463-BB527557BB34}" type="presOf" srcId="{C9D0E6A3-4335-4A26-BD7D-FACAD6EDD26A}" destId="{E68257ED-FD11-4672-A17A-7EA0FE66930B}" srcOrd="0" destOrd="0" presId="urn:microsoft.com/office/officeart/2005/8/layout/vProcess5"/>
    <dgm:cxn modelId="{2B76D374-58F2-4F30-B91D-8385E5F3ADF4}" srcId="{92592885-283F-406D-9D73-5767B1180DEA}" destId="{661B3149-DF03-4D6C-80E4-BBB9F371E2A6}" srcOrd="1" destOrd="0" parTransId="{EAF3608A-7219-40B6-9136-9CF22B609EFA}" sibTransId="{C9D0E6A3-4335-4A26-BD7D-FACAD6EDD26A}"/>
    <dgm:cxn modelId="{E854E5FD-1360-452E-8678-9ED0A1A91DAF}" type="presOf" srcId="{91262CC7-96B5-4A7F-A37E-3561C260FAED}" destId="{9B06879E-FCB2-4581-A4AE-52BC532DED17}" srcOrd="1" destOrd="0" presId="urn:microsoft.com/office/officeart/2005/8/layout/vProcess5"/>
    <dgm:cxn modelId="{947196A9-425D-4CFB-940D-C9F8BE32DBC2}" srcId="{901DD0DD-A38C-4FF6-83CA-10C04774247E}" destId="{B541AB61-B0C8-4167-8878-637AE5B84348}" srcOrd="0" destOrd="0" parTransId="{FAC6E22E-B3C7-4045-A032-CB8AF17C4A49}" sibTransId="{8E89C845-4D52-4DEC-BD59-F13A37F22F23}"/>
    <dgm:cxn modelId="{8264DF08-ED53-4AEC-B699-C36A0575348D}" type="presOf" srcId="{91262CC7-96B5-4A7F-A37E-3561C260FAED}" destId="{62BA4EC3-21B4-4034-A13F-5B176E5B5100}" srcOrd="0" destOrd="0" presId="urn:microsoft.com/office/officeart/2005/8/layout/vProcess5"/>
    <dgm:cxn modelId="{A99DFBC1-6A11-4FD6-BD11-E0F53A2CF759}" type="presOf" srcId="{46FD338D-7DB7-45E0-A2AC-C2673A198291}" destId="{B2CEF5F1-2C76-4607-82B3-81521C5A79BC}" srcOrd="1" destOrd="0" presId="urn:microsoft.com/office/officeart/2005/8/layout/vProcess5"/>
    <dgm:cxn modelId="{7E6FA480-1ECE-4563-8AC6-3BE433C7A2ED}" type="presParOf" srcId="{8817BC22-1806-4ACD-9BF1-6D750234AFF0}" destId="{5331EE87-EAE2-44E1-953A-0A97631F81CE}" srcOrd="0" destOrd="0" presId="urn:microsoft.com/office/officeart/2005/8/layout/vProcess5"/>
    <dgm:cxn modelId="{A96232C8-F932-4E5B-A13C-93CBB885AF92}" type="presParOf" srcId="{8817BC22-1806-4ACD-9BF1-6D750234AFF0}" destId="{35DE5209-4DDA-4BE9-BE1C-5A0331EE42C1}" srcOrd="1" destOrd="0" presId="urn:microsoft.com/office/officeart/2005/8/layout/vProcess5"/>
    <dgm:cxn modelId="{DEC17820-8A45-4130-A541-03B514802E2D}" type="presParOf" srcId="{8817BC22-1806-4ACD-9BF1-6D750234AFF0}" destId="{58F7FAB4-F21B-4B2F-81DF-4877AADAEDC4}" srcOrd="2" destOrd="0" presId="urn:microsoft.com/office/officeart/2005/8/layout/vProcess5"/>
    <dgm:cxn modelId="{6AB9B362-9B3B-4EA4-A0AD-2B109049C80F}" type="presParOf" srcId="{8817BC22-1806-4ACD-9BF1-6D750234AFF0}" destId="{80C43BE2-CF88-42E1-B92C-6CE5BA11016F}" srcOrd="3" destOrd="0" presId="urn:microsoft.com/office/officeart/2005/8/layout/vProcess5"/>
    <dgm:cxn modelId="{D887A7CA-DB2E-4A6A-AB00-AC6AEDB10718}" type="presParOf" srcId="{8817BC22-1806-4ACD-9BF1-6D750234AFF0}" destId="{B77A33D3-64AE-41B0-ADA8-5621E8915911}" srcOrd="4" destOrd="0" presId="urn:microsoft.com/office/officeart/2005/8/layout/vProcess5"/>
    <dgm:cxn modelId="{1B6E4D21-2B42-43AA-B395-F0BB086E697A}" type="presParOf" srcId="{8817BC22-1806-4ACD-9BF1-6D750234AFF0}" destId="{62BA4EC3-21B4-4034-A13F-5B176E5B5100}" srcOrd="5" destOrd="0" presId="urn:microsoft.com/office/officeart/2005/8/layout/vProcess5"/>
    <dgm:cxn modelId="{FDDC842F-E001-4C16-A8BC-9F8A6A6D06C0}" type="presParOf" srcId="{8817BC22-1806-4ACD-9BF1-6D750234AFF0}" destId="{962B217C-4BC2-4272-B23A-41463D39C006}" srcOrd="6" destOrd="0" presId="urn:microsoft.com/office/officeart/2005/8/layout/vProcess5"/>
    <dgm:cxn modelId="{30F4FABB-05D3-4413-8D44-5DAE3A94BE89}" type="presParOf" srcId="{8817BC22-1806-4ACD-9BF1-6D750234AFF0}" destId="{E68257ED-FD11-4672-A17A-7EA0FE66930B}" srcOrd="7" destOrd="0" presId="urn:microsoft.com/office/officeart/2005/8/layout/vProcess5"/>
    <dgm:cxn modelId="{AC12C6B1-3284-4BFB-9B61-5632672B72CB}" type="presParOf" srcId="{8817BC22-1806-4ACD-9BF1-6D750234AFF0}" destId="{CE271027-80A2-4DE9-9573-EBF1C46335E5}" srcOrd="8" destOrd="0" presId="urn:microsoft.com/office/officeart/2005/8/layout/vProcess5"/>
    <dgm:cxn modelId="{FFCB7D70-7CBD-48A5-B230-C2E26C570699}" type="presParOf" srcId="{8817BC22-1806-4ACD-9BF1-6D750234AFF0}" destId="{6D591144-FEF1-44C8-B760-BDD2B8A06A0A}" srcOrd="9" destOrd="0" presId="urn:microsoft.com/office/officeart/2005/8/layout/vProcess5"/>
    <dgm:cxn modelId="{409B296E-E36A-4C63-B0B0-BB928E0C7926}" type="presParOf" srcId="{8817BC22-1806-4ACD-9BF1-6D750234AFF0}" destId="{014A8110-1C27-4155-8812-17B99A17A83A}" srcOrd="10" destOrd="0" presId="urn:microsoft.com/office/officeart/2005/8/layout/vProcess5"/>
    <dgm:cxn modelId="{B10A09E3-7767-4F21-9A8D-C3F53E9F92B0}" type="presParOf" srcId="{8817BC22-1806-4ACD-9BF1-6D750234AFF0}" destId="{21D152C0-E182-4D00-831C-E6FA9262230D}" srcOrd="11" destOrd="0" presId="urn:microsoft.com/office/officeart/2005/8/layout/vProcess5"/>
    <dgm:cxn modelId="{436EA331-8B6E-493C-A585-68C96E3706F5}" type="presParOf" srcId="{8817BC22-1806-4ACD-9BF1-6D750234AFF0}" destId="{B2CEF5F1-2C76-4607-82B3-81521C5A79BC}" srcOrd="12" destOrd="0" presId="urn:microsoft.com/office/officeart/2005/8/layout/vProcess5"/>
    <dgm:cxn modelId="{179C0C37-9CD8-45CA-9D99-1F1B38CE4804}" type="presParOf" srcId="{8817BC22-1806-4ACD-9BF1-6D750234AFF0}" destId="{21722A3C-8EA3-4EC1-A76A-463866B37507}" srcOrd="13" destOrd="0" presId="urn:microsoft.com/office/officeart/2005/8/layout/vProcess5"/>
    <dgm:cxn modelId="{B8F267C7-06C1-4093-9D92-C48902080806}" type="presParOf" srcId="{8817BC22-1806-4ACD-9BF1-6D750234AFF0}" destId="{9B06879E-FCB2-4581-A4AE-52BC532DED17}" srcOrd="14"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E5209-4DDA-4BE9-BE1C-5A0331EE42C1}">
      <dsp:nvSpPr>
        <dsp:cNvPr id="0" name=""/>
        <dsp:cNvSpPr/>
      </dsp:nvSpPr>
      <dsp:spPr>
        <a:xfrm>
          <a:off x="0" y="0"/>
          <a:ext cx="4435754" cy="1130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Wójt Gminy Brody</a:t>
          </a:r>
        </a:p>
      </dsp:txBody>
      <dsp:txXfrm>
        <a:off x="33116" y="33116"/>
        <a:ext cx="3083401" cy="1064423"/>
      </dsp:txXfrm>
    </dsp:sp>
    <dsp:sp modelId="{58F7FAB4-F21B-4B2F-81DF-4877AADAEDC4}">
      <dsp:nvSpPr>
        <dsp:cNvPr id="0" name=""/>
        <dsp:cNvSpPr/>
      </dsp:nvSpPr>
      <dsp:spPr>
        <a:xfrm>
          <a:off x="331241" y="1287691"/>
          <a:ext cx="4435754" cy="1130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Koordynator monitoringu</a:t>
          </a:r>
        </a:p>
      </dsp:txBody>
      <dsp:txXfrm>
        <a:off x="364357" y="1320807"/>
        <a:ext cx="3303354" cy="1064423"/>
      </dsp:txXfrm>
    </dsp:sp>
    <dsp:sp modelId="{80C43BE2-CF88-42E1-B92C-6CE5BA11016F}">
      <dsp:nvSpPr>
        <dsp:cNvPr id="0" name=""/>
        <dsp:cNvSpPr/>
      </dsp:nvSpPr>
      <dsp:spPr>
        <a:xfrm>
          <a:off x="662482" y="2575382"/>
          <a:ext cx="4435754" cy="1130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Inwentaryzacja</a:t>
          </a:r>
        </a:p>
        <a:p>
          <a:pPr marL="171450" lvl="1" indent="-171450" algn="ctr" defTabSz="711200">
            <a:lnSpc>
              <a:spcPct val="90000"/>
            </a:lnSpc>
            <a:spcBef>
              <a:spcPct val="0"/>
            </a:spcBef>
            <a:spcAft>
              <a:spcPct val="15000"/>
            </a:spcAft>
            <a:buChar char="••"/>
          </a:pPr>
          <a:r>
            <a:rPr lang="pl-PL" sz="1600" b="0" kern="1200"/>
            <a:t>Zbieranie danych</a:t>
          </a:r>
        </a:p>
      </dsp:txBody>
      <dsp:txXfrm>
        <a:off x="695598" y="2608498"/>
        <a:ext cx="3303354" cy="1064423"/>
      </dsp:txXfrm>
    </dsp:sp>
    <dsp:sp modelId="{B77A33D3-64AE-41B0-ADA8-5621E8915911}">
      <dsp:nvSpPr>
        <dsp:cNvPr id="0" name=""/>
        <dsp:cNvSpPr/>
      </dsp:nvSpPr>
      <dsp:spPr>
        <a:xfrm>
          <a:off x="993724" y="3863073"/>
          <a:ext cx="4435754" cy="1130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Monitoring</a:t>
          </a:r>
        </a:p>
        <a:p>
          <a:pPr marL="171450" lvl="1" indent="-171450" algn="ctr" defTabSz="711200">
            <a:lnSpc>
              <a:spcPct val="90000"/>
            </a:lnSpc>
            <a:spcBef>
              <a:spcPct val="0"/>
            </a:spcBef>
            <a:spcAft>
              <a:spcPct val="15000"/>
            </a:spcAft>
            <a:buChar char="••"/>
          </a:pPr>
          <a:r>
            <a:rPr lang="pl-PL" sz="1600" b="0" kern="1200"/>
            <a:t>Weryfikacja danych</a:t>
          </a:r>
        </a:p>
        <a:p>
          <a:pPr marL="171450" lvl="1" indent="-171450" algn="ctr" defTabSz="711200">
            <a:lnSpc>
              <a:spcPct val="90000"/>
            </a:lnSpc>
            <a:spcBef>
              <a:spcPct val="0"/>
            </a:spcBef>
            <a:spcAft>
              <a:spcPct val="15000"/>
            </a:spcAft>
            <a:buChar char="••"/>
          </a:pPr>
          <a:r>
            <a:rPr lang="pl-PL" sz="1600" b="0" kern="1200"/>
            <a:t>Analiza projektu</a:t>
          </a:r>
        </a:p>
      </dsp:txBody>
      <dsp:txXfrm>
        <a:off x="1026840" y="3896189"/>
        <a:ext cx="3303354" cy="1064423"/>
      </dsp:txXfrm>
    </dsp:sp>
    <dsp:sp modelId="{62BA4EC3-21B4-4034-A13F-5B176E5B5100}">
      <dsp:nvSpPr>
        <dsp:cNvPr id="0" name=""/>
        <dsp:cNvSpPr/>
      </dsp:nvSpPr>
      <dsp:spPr>
        <a:xfrm>
          <a:off x="1324965" y="5150764"/>
          <a:ext cx="4435754" cy="1130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pl-PL" sz="2200" b="1" kern="1200"/>
            <a:t>Aktualizacja Planu</a:t>
          </a:r>
        </a:p>
      </dsp:txBody>
      <dsp:txXfrm>
        <a:off x="1358081" y="5183880"/>
        <a:ext cx="3303354" cy="1064423"/>
      </dsp:txXfrm>
    </dsp:sp>
    <dsp:sp modelId="{962B217C-4BC2-4272-B23A-41463D39C006}">
      <dsp:nvSpPr>
        <dsp:cNvPr id="0" name=""/>
        <dsp:cNvSpPr/>
      </dsp:nvSpPr>
      <dsp:spPr>
        <a:xfrm>
          <a:off x="3700828" y="826006"/>
          <a:ext cx="734926" cy="7349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3866186" y="826006"/>
        <a:ext cx="404210" cy="553032"/>
      </dsp:txXfrm>
    </dsp:sp>
    <dsp:sp modelId="{E68257ED-FD11-4672-A17A-7EA0FE66930B}">
      <dsp:nvSpPr>
        <dsp:cNvPr id="0" name=""/>
        <dsp:cNvSpPr/>
      </dsp:nvSpPr>
      <dsp:spPr>
        <a:xfrm>
          <a:off x="4032069" y="2113697"/>
          <a:ext cx="734926" cy="7349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197427" y="2113697"/>
        <a:ext cx="404210" cy="553032"/>
      </dsp:txXfrm>
    </dsp:sp>
    <dsp:sp modelId="{CE271027-80A2-4DE9-9573-EBF1C46335E5}">
      <dsp:nvSpPr>
        <dsp:cNvPr id="0" name=""/>
        <dsp:cNvSpPr/>
      </dsp:nvSpPr>
      <dsp:spPr>
        <a:xfrm>
          <a:off x="4363311" y="3382544"/>
          <a:ext cx="734926" cy="7349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528669" y="3382544"/>
        <a:ext cx="404210" cy="553032"/>
      </dsp:txXfrm>
    </dsp:sp>
    <dsp:sp modelId="{6D591144-FEF1-44C8-B760-BDD2B8A06A0A}">
      <dsp:nvSpPr>
        <dsp:cNvPr id="0" name=""/>
        <dsp:cNvSpPr/>
      </dsp:nvSpPr>
      <dsp:spPr>
        <a:xfrm>
          <a:off x="4694552" y="4682798"/>
          <a:ext cx="734926" cy="7349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pl-PL" sz="3300" kern="1200"/>
        </a:p>
      </dsp:txBody>
      <dsp:txXfrm>
        <a:off x="4859910" y="4682798"/>
        <a:ext cx="404210" cy="55303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E0E36-7108-4565-BBE7-EB878E7F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24207</Words>
  <Characters>145242</Characters>
  <Application>Microsoft Office Word</Application>
  <DocSecurity>0</DocSecurity>
  <Lines>1210</Lines>
  <Paragraphs>338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FGI_K</cp:lastModifiedBy>
  <cp:revision>20</cp:revision>
  <cp:lastPrinted>2016-12-29T07:42:00Z</cp:lastPrinted>
  <dcterms:created xsi:type="dcterms:W3CDTF">2016-12-28T09:58:00Z</dcterms:created>
  <dcterms:modified xsi:type="dcterms:W3CDTF">2016-12-29T07:42:00Z</dcterms:modified>
</cp:coreProperties>
</file>